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7CEEF" w14:textId="19CF3D85" w:rsidR="00B66031" w:rsidRPr="00B66031" w:rsidRDefault="00E84FAB" w:rsidP="00B66031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B66031">
        <w:rPr>
          <w:b/>
          <w:sz w:val="28"/>
          <w:szCs w:val="28"/>
          <w:lang w:val="en-US"/>
        </w:rPr>
        <w:t xml:space="preserve">Comparison </w:t>
      </w:r>
      <w:r>
        <w:rPr>
          <w:b/>
          <w:sz w:val="28"/>
          <w:szCs w:val="28"/>
          <w:lang w:val="en-US"/>
        </w:rPr>
        <w:t>of</w:t>
      </w:r>
      <w:r w:rsidRPr="00B66031">
        <w:rPr>
          <w:b/>
          <w:sz w:val="28"/>
          <w:szCs w:val="28"/>
          <w:lang w:val="en-US"/>
        </w:rPr>
        <w:t xml:space="preserve"> two tractography </w:t>
      </w:r>
      <w:r>
        <w:rPr>
          <w:b/>
          <w:sz w:val="28"/>
          <w:szCs w:val="28"/>
          <w:lang w:val="en-US"/>
        </w:rPr>
        <w:t>approaches in healthy adults</w:t>
      </w:r>
    </w:p>
    <w:p w14:paraId="3B6A8FA6" w14:textId="77777777" w:rsidR="00E24564" w:rsidRPr="00E24564" w:rsidRDefault="00E24564" w:rsidP="002F1EA5">
      <w:pPr>
        <w:jc w:val="center"/>
        <w:rPr>
          <w:lang w:val="en-US"/>
        </w:rPr>
      </w:pPr>
    </w:p>
    <w:p w14:paraId="0215B192" w14:textId="2C7FEEA1" w:rsidR="00B66031" w:rsidRDefault="00B66031" w:rsidP="002F1EA5">
      <w:pPr>
        <w:jc w:val="center"/>
        <w:rPr>
          <w:sz w:val="20"/>
          <w:vertAlign w:val="superscript"/>
          <w:lang w:val="en-US"/>
        </w:rPr>
      </w:pPr>
      <w:r w:rsidRPr="00863ECC">
        <w:rPr>
          <w:lang w:val="en-US"/>
        </w:rPr>
        <w:t xml:space="preserve">Yuri F. Ribeiro, </w:t>
      </w:r>
      <w:r w:rsidR="000D34A9">
        <w:rPr>
          <w:lang w:val="en-US"/>
        </w:rPr>
        <w:t>Richard Frayne</w:t>
      </w:r>
      <w:r w:rsidRPr="00863ECC">
        <w:rPr>
          <w:lang w:val="en-US"/>
        </w:rPr>
        <w:t xml:space="preserve">, and </w:t>
      </w:r>
      <w:r w:rsidR="000D34A9">
        <w:rPr>
          <w:lang w:val="en-US"/>
        </w:rPr>
        <w:t>Adrian Tsang</w:t>
      </w:r>
      <w:r w:rsidRPr="002F1EA5">
        <w:rPr>
          <w:sz w:val="20"/>
          <w:vertAlign w:val="superscript"/>
          <w:lang w:val="en-US"/>
        </w:rPr>
        <w:t xml:space="preserve"> </w:t>
      </w:r>
    </w:p>
    <w:p w14:paraId="4B83377A" w14:textId="40C552B3" w:rsidR="002F1EA5" w:rsidRPr="00BA652E" w:rsidRDefault="000647A7" w:rsidP="00BA652E">
      <w:pPr>
        <w:jc w:val="center"/>
        <w:rPr>
          <w:sz w:val="20"/>
          <w:szCs w:val="20"/>
        </w:rPr>
      </w:pPr>
      <w:r w:rsidRPr="0026085A">
        <w:rPr>
          <w:sz w:val="20"/>
          <w:szCs w:val="20"/>
        </w:rPr>
        <w:t xml:space="preserve">Instituto de Sistemas Elétricos e Energia, Universidade Federal de Itajubá, Itajubá, </w:t>
      </w:r>
      <w:r w:rsidR="00BF6A10">
        <w:rPr>
          <w:sz w:val="20"/>
          <w:szCs w:val="20"/>
        </w:rPr>
        <w:t xml:space="preserve">MG, </w:t>
      </w:r>
      <w:r w:rsidR="00693EF9" w:rsidRPr="0026085A">
        <w:rPr>
          <w:sz w:val="20"/>
          <w:szCs w:val="20"/>
        </w:rPr>
        <w:t>Bra</w:t>
      </w:r>
      <w:r w:rsidR="00693EF9">
        <w:rPr>
          <w:sz w:val="20"/>
          <w:szCs w:val="20"/>
        </w:rPr>
        <w:t>s</w:t>
      </w:r>
      <w:r w:rsidR="00693EF9" w:rsidRPr="0026085A">
        <w:rPr>
          <w:sz w:val="20"/>
          <w:szCs w:val="20"/>
        </w:rPr>
        <w:t>il</w:t>
      </w:r>
      <w:r>
        <w:rPr>
          <w:sz w:val="20"/>
          <w:szCs w:val="20"/>
        </w:rPr>
        <w:t xml:space="preserve">; </w:t>
      </w:r>
      <w:r w:rsidRPr="000647A7">
        <w:rPr>
          <w:sz w:val="20"/>
          <w:szCs w:val="20"/>
        </w:rPr>
        <w:t>Departments of Radiology and Clinical Neuroscience, Hotchkiss Brain Institute, U</w:t>
      </w:r>
      <w:r>
        <w:rPr>
          <w:sz w:val="20"/>
          <w:szCs w:val="20"/>
        </w:rPr>
        <w:t>n</w:t>
      </w:r>
      <w:r w:rsidRPr="000647A7">
        <w:rPr>
          <w:sz w:val="20"/>
          <w:szCs w:val="20"/>
        </w:rPr>
        <w:t xml:space="preserve">iversity of Calgary, Calgary, Alberta, Canada; and Seaman Family MR </w:t>
      </w:r>
      <w:r w:rsidR="00A127AC">
        <w:rPr>
          <w:sz w:val="20"/>
          <w:szCs w:val="20"/>
        </w:rPr>
        <w:t xml:space="preserve">Research </w:t>
      </w:r>
      <w:r w:rsidRPr="000647A7">
        <w:rPr>
          <w:sz w:val="20"/>
          <w:szCs w:val="20"/>
        </w:rPr>
        <w:t xml:space="preserve">Centre, Foothills Medical Centre, Calgary, Alberta, Canada </w:t>
      </w:r>
    </w:p>
    <w:p w14:paraId="03F4184B" w14:textId="77777777" w:rsidR="00263FB4" w:rsidRDefault="00263FB4" w:rsidP="002F1EA5">
      <w:pPr>
        <w:jc w:val="center"/>
        <w:rPr>
          <w:lang w:val="en-US"/>
        </w:rPr>
      </w:pPr>
    </w:p>
    <w:p w14:paraId="4654A7F9" w14:textId="1B6283ED" w:rsidR="00B66031" w:rsidRPr="000647A7" w:rsidRDefault="00263FB4" w:rsidP="00DD5D20">
      <w:pPr>
        <w:jc w:val="both"/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0647A7" w:rsidRPr="000647A7">
        <w:t xml:space="preserve">Tractography is a 3D-modelling technique that uses diffusion tensor imaging (DTI) data to visually represent white matter (WM) fiber tracts in the brain. A common approach uses the </w:t>
      </w:r>
      <w:r w:rsidR="00B70F67">
        <w:t>tensor</w:t>
      </w:r>
      <w:r w:rsidR="000647A7" w:rsidRPr="000647A7">
        <w:t xml:space="preserve"> model to estimate</w:t>
      </w:r>
      <w:r w:rsidR="00CC2D72">
        <w:t xml:space="preserve"> fiber</w:t>
      </w:r>
      <w:r w:rsidR="00F020A8" w:rsidRPr="000647A7">
        <w:t xml:space="preserve"> orientation</w:t>
      </w:r>
      <w:r w:rsidR="000647A7" w:rsidRPr="000647A7">
        <w:t xml:space="preserve"> on a voxel-by-voxel basis</w:t>
      </w:r>
      <w:r w:rsidR="00F020A8">
        <w:t xml:space="preserve"> to delineate </w:t>
      </w:r>
      <w:r w:rsidR="000647A7">
        <w:t>WM tract</w:t>
      </w:r>
      <w:r w:rsidR="00871251">
        <w:t>s</w:t>
      </w:r>
      <w:r w:rsidR="003212B5">
        <w:t>.[1]</w:t>
      </w:r>
      <w:r w:rsidR="000647A7" w:rsidRPr="000647A7">
        <w:t xml:space="preserve"> This approach</w:t>
      </w:r>
      <w:r w:rsidR="00CC5169">
        <w:t xml:space="preserve"> </w:t>
      </w:r>
      <w:r w:rsidR="00676511">
        <w:t>has been widely used in studies t</w:t>
      </w:r>
      <w:r w:rsidR="00FA4F3E">
        <w:t>o</w:t>
      </w:r>
      <w:r w:rsidR="00676511">
        <w:t xml:space="preserve"> investigate WM changes in disease and normal aging. H</w:t>
      </w:r>
      <w:r w:rsidR="000647A7" w:rsidRPr="000647A7">
        <w:t xml:space="preserve">owever, </w:t>
      </w:r>
      <w:r w:rsidR="00A83783">
        <w:t xml:space="preserve">it has been shown that the tensor model </w:t>
      </w:r>
      <w:r w:rsidR="009B7F0D">
        <w:t>fails to</w:t>
      </w:r>
      <w:r w:rsidR="000647A7" w:rsidRPr="000647A7">
        <w:t xml:space="preserve"> correctly </w:t>
      </w:r>
      <w:r w:rsidR="00D4621A">
        <w:t>delineate WM</w:t>
      </w:r>
      <w:r w:rsidR="0028503C">
        <w:t xml:space="preserve"> tracts in</w:t>
      </w:r>
      <w:r w:rsidR="00D4621A">
        <w:t xml:space="preserve"> voxels</w:t>
      </w:r>
      <w:r w:rsidR="000647A7" w:rsidRPr="000647A7">
        <w:t xml:space="preserve"> </w:t>
      </w:r>
      <w:r w:rsidR="00BA0B44">
        <w:t>with</w:t>
      </w:r>
      <w:r w:rsidR="000647A7" w:rsidRPr="000647A7">
        <w:t xml:space="preserve"> multiple fiber orientations that</w:t>
      </w:r>
      <w:r w:rsidR="00436B03">
        <w:t xml:space="preserve"> </w:t>
      </w:r>
      <w:r w:rsidR="003E5E67">
        <w:t>accounts for</w:t>
      </w:r>
      <w:r w:rsidR="00436B03">
        <w:t xml:space="preserve"> 90% of </w:t>
      </w:r>
      <w:r w:rsidR="003E5E67">
        <w:t xml:space="preserve">WM </w:t>
      </w:r>
      <w:r w:rsidR="00436B03">
        <w:t>voxels</w:t>
      </w:r>
      <w:r w:rsidR="00235C85">
        <w:t>.</w:t>
      </w:r>
      <w:r w:rsidR="000647A7" w:rsidRPr="000647A7">
        <w:t>[</w:t>
      </w:r>
      <w:r w:rsidR="009C3860">
        <w:t>2</w:t>
      </w:r>
      <w:r w:rsidR="000647A7" w:rsidRPr="000647A7">
        <w:t xml:space="preserve">] </w:t>
      </w:r>
      <w:r w:rsidR="003E278C" w:rsidRPr="000647A7">
        <w:t>Constrained spherica</w:t>
      </w:r>
      <w:r w:rsidR="003E278C">
        <w:t xml:space="preserve">l deconvolution (CSD) is an </w:t>
      </w:r>
      <w:r w:rsidR="00727470">
        <w:t>approach</w:t>
      </w:r>
      <w:r w:rsidR="002579B8">
        <w:t xml:space="preserve"> proposed </w:t>
      </w:r>
      <w:r w:rsidR="008E270A">
        <w:t xml:space="preserve">to </w:t>
      </w:r>
      <w:r w:rsidR="002579B8">
        <w:t xml:space="preserve">mitigate the limitation of the tensor </w:t>
      </w:r>
      <w:r w:rsidR="00443711">
        <w:t>model</w:t>
      </w:r>
      <w:r w:rsidR="003E278C">
        <w:t xml:space="preserve"> </w:t>
      </w:r>
      <w:r w:rsidR="005D3424">
        <w:t>using</w:t>
      </w:r>
      <w:r w:rsidR="003E278C">
        <w:t xml:space="preserve"> f</w:t>
      </w:r>
      <w:r w:rsidR="000647A7" w:rsidRPr="000647A7">
        <w:t>ibe</w:t>
      </w:r>
      <w:r w:rsidR="00287BF7">
        <w:t xml:space="preserve">r orientation distribution </w:t>
      </w:r>
      <w:r w:rsidR="008B2A68">
        <w:t>in each voxel</w:t>
      </w:r>
      <w:r w:rsidR="00F00AB7">
        <w:t xml:space="preserve"> for WM tract delineation</w:t>
      </w:r>
      <w:r w:rsidR="00C727F2">
        <w:rPr>
          <w:lang w:val="en-US"/>
        </w:rPr>
        <w:t>.[</w:t>
      </w:r>
      <w:r w:rsidR="00323398">
        <w:rPr>
          <w:lang w:val="en-US"/>
        </w:rPr>
        <w:t>2,</w:t>
      </w:r>
      <w:r w:rsidR="00C727F2">
        <w:rPr>
          <w:lang w:val="en-US"/>
        </w:rPr>
        <w:t>3]</w:t>
      </w:r>
      <w:r w:rsidR="00B66031" w:rsidRPr="00863ECC">
        <w:rPr>
          <w:lang w:val="en-US"/>
        </w:rPr>
        <w:t xml:space="preserve"> </w:t>
      </w:r>
      <w:r w:rsidR="000D34A9">
        <w:rPr>
          <w:lang w:val="en-US"/>
        </w:rPr>
        <w:t xml:space="preserve">The </w:t>
      </w:r>
      <w:r w:rsidR="002B4A4D">
        <w:rPr>
          <w:lang w:val="en-US"/>
        </w:rPr>
        <w:t>objective of this study</w:t>
      </w:r>
      <w:r w:rsidR="00247148">
        <w:rPr>
          <w:lang w:val="en-US"/>
        </w:rPr>
        <w:t xml:space="preserve"> is to compare</w:t>
      </w:r>
      <w:r w:rsidR="00B33F5F">
        <w:rPr>
          <w:lang w:val="en-US"/>
        </w:rPr>
        <w:t xml:space="preserve"> metrics </w:t>
      </w:r>
      <w:r w:rsidR="001D4875">
        <w:rPr>
          <w:lang w:val="en-US"/>
        </w:rPr>
        <w:t xml:space="preserve">that infer </w:t>
      </w:r>
      <w:r w:rsidR="009B2417">
        <w:rPr>
          <w:lang w:val="en-US"/>
        </w:rPr>
        <w:t xml:space="preserve">WM microstructure </w:t>
      </w:r>
      <w:r w:rsidR="00B33F5F">
        <w:rPr>
          <w:lang w:val="en-US"/>
        </w:rPr>
        <w:t>derived from</w:t>
      </w:r>
      <w:r w:rsidR="00AC3172">
        <w:rPr>
          <w:lang w:val="en-US"/>
        </w:rPr>
        <w:t xml:space="preserve"> </w:t>
      </w:r>
      <w:r w:rsidR="00F2781F">
        <w:rPr>
          <w:lang w:val="en-US"/>
        </w:rPr>
        <w:t>both</w:t>
      </w:r>
      <w:r w:rsidR="00B33F5F">
        <w:rPr>
          <w:lang w:val="en-US"/>
        </w:rPr>
        <w:t xml:space="preserve"> tensor and CSD </w:t>
      </w:r>
      <w:r w:rsidR="00AC3172">
        <w:rPr>
          <w:lang w:val="en-US"/>
        </w:rPr>
        <w:t xml:space="preserve">methods </w:t>
      </w:r>
      <w:r w:rsidR="00984E93">
        <w:rPr>
          <w:lang w:val="en-US"/>
        </w:rPr>
        <w:t>in healthy subjects over the adult lifespan</w:t>
      </w:r>
      <w:r w:rsidR="00AC3172">
        <w:rPr>
          <w:lang w:val="en-US"/>
        </w:rPr>
        <w:t>.</w:t>
      </w:r>
    </w:p>
    <w:p w14:paraId="09B47EEE" w14:textId="7BEAE2E2" w:rsidR="00470D30" w:rsidRDefault="00263FB4" w:rsidP="00DD5D20">
      <w:pPr>
        <w:pStyle w:val="NormalWeb"/>
        <w:spacing w:before="100"/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1D1B85">
        <w:rPr>
          <w:lang w:val="en-US"/>
        </w:rPr>
        <w:t xml:space="preserve">DTI </w:t>
      </w:r>
      <w:r w:rsidR="001D1B85">
        <w:rPr>
          <w:lang w:val="en-CA"/>
        </w:rPr>
        <w:t>d</w:t>
      </w:r>
      <w:r w:rsidR="000647A7" w:rsidRPr="000647A7">
        <w:rPr>
          <w:lang w:val="en-CA"/>
        </w:rPr>
        <w:t>ata from 216 healthy participants (</w:t>
      </w:r>
      <w:r w:rsidR="000647A7">
        <w:rPr>
          <w:lang w:val="en-CA"/>
        </w:rPr>
        <w:t xml:space="preserve">18 </w:t>
      </w:r>
      <w:r w:rsidR="000647A7" w:rsidRPr="000647A7">
        <w:rPr>
          <w:lang w:val="en-CA"/>
        </w:rPr>
        <w:t xml:space="preserve">to </w:t>
      </w:r>
      <w:r w:rsidR="001D1B85">
        <w:rPr>
          <w:lang w:val="en-CA"/>
        </w:rPr>
        <w:t>87</w:t>
      </w:r>
      <w:r w:rsidR="000647A7" w:rsidRPr="000647A7">
        <w:rPr>
          <w:lang w:val="en-CA"/>
        </w:rPr>
        <w:t xml:space="preserve"> years) were collected as part of the</w:t>
      </w:r>
      <w:r w:rsidR="00662A82">
        <w:rPr>
          <w:lang w:val="en-CA"/>
        </w:rPr>
        <w:t xml:space="preserve"> Calgary Normative Study on a 3</w:t>
      </w:r>
      <w:r w:rsidR="00FD6A3E">
        <w:rPr>
          <w:lang w:val="en-CA"/>
        </w:rPr>
        <w:t>-</w:t>
      </w:r>
      <w:r w:rsidR="000647A7" w:rsidRPr="000647A7">
        <w:rPr>
          <w:lang w:val="en-CA"/>
        </w:rPr>
        <w:t xml:space="preserve">T scanner (Discovery 750, General Electric). Raw diffusion images were corrected for subject motion and eddy-current-induced distortions. </w:t>
      </w:r>
      <w:r w:rsidR="00FD6A3E">
        <w:rPr>
          <w:lang w:val="en-US"/>
        </w:rPr>
        <w:t>F</w:t>
      </w:r>
      <w:r w:rsidR="00AE40F9">
        <w:rPr>
          <w:lang w:val="en-US"/>
        </w:rPr>
        <w:t xml:space="preserve">our commonly </w:t>
      </w:r>
      <w:r w:rsidR="005A0C8E">
        <w:rPr>
          <w:lang w:val="en-US"/>
        </w:rPr>
        <w:t xml:space="preserve">used </w:t>
      </w:r>
      <w:r w:rsidR="000A430D">
        <w:rPr>
          <w:lang w:val="en-US"/>
        </w:rPr>
        <w:t>DTI data</w:t>
      </w:r>
      <w:r w:rsidR="00FD6A3E" w:rsidRPr="00FD6A3E">
        <w:rPr>
          <w:lang w:val="en-US"/>
        </w:rPr>
        <w:t xml:space="preserve"> </w:t>
      </w:r>
      <w:r w:rsidR="00FD6A3E">
        <w:rPr>
          <w:lang w:val="en-US"/>
        </w:rPr>
        <w:t>metrics</w:t>
      </w:r>
      <w:r w:rsidR="005A0C8E">
        <w:rPr>
          <w:lang w:val="en-US"/>
        </w:rPr>
        <w:t>:</w:t>
      </w:r>
      <w:r w:rsidR="00AE40F9">
        <w:rPr>
          <w:lang w:val="en-US"/>
        </w:rPr>
        <w:t xml:space="preserve"> fractional</w:t>
      </w:r>
      <w:r w:rsidR="00AE40F9" w:rsidRPr="00863ECC">
        <w:rPr>
          <w:lang w:val="en-US"/>
        </w:rPr>
        <w:t xml:space="preserve"> </w:t>
      </w:r>
      <w:r w:rsidR="00AE40F9">
        <w:rPr>
          <w:lang w:val="en-US"/>
        </w:rPr>
        <w:t>a</w:t>
      </w:r>
      <w:r w:rsidR="00AE40F9" w:rsidRPr="00863ECC">
        <w:rPr>
          <w:lang w:val="en-US"/>
        </w:rPr>
        <w:t xml:space="preserve">nisotropy (FA), </w:t>
      </w:r>
      <w:r w:rsidR="00AE40F9">
        <w:rPr>
          <w:lang w:val="en-US"/>
        </w:rPr>
        <w:t>mean diffusivity</w:t>
      </w:r>
      <w:r w:rsidR="00AE40F9" w:rsidRPr="00863ECC">
        <w:rPr>
          <w:lang w:val="en-US"/>
        </w:rPr>
        <w:t xml:space="preserve"> (</w:t>
      </w:r>
      <w:r w:rsidR="00AE40F9">
        <w:rPr>
          <w:lang w:val="en-US"/>
        </w:rPr>
        <w:t>MD</w:t>
      </w:r>
      <w:r w:rsidR="00AE40F9" w:rsidRPr="00863ECC">
        <w:rPr>
          <w:lang w:val="en-US"/>
        </w:rPr>
        <w:t xml:space="preserve">), </w:t>
      </w:r>
      <w:r w:rsidR="00AE40F9">
        <w:rPr>
          <w:lang w:val="en-US"/>
        </w:rPr>
        <w:t>a</w:t>
      </w:r>
      <w:r w:rsidR="00AE40F9" w:rsidRPr="00863ECC">
        <w:rPr>
          <w:lang w:val="en-US"/>
        </w:rPr>
        <w:t xml:space="preserve">xial </w:t>
      </w:r>
      <w:r w:rsidR="00AE40F9">
        <w:rPr>
          <w:lang w:val="en-US"/>
        </w:rPr>
        <w:t>d</w:t>
      </w:r>
      <w:r w:rsidR="00AE40F9" w:rsidRPr="00863ECC">
        <w:rPr>
          <w:lang w:val="en-US"/>
        </w:rPr>
        <w:t xml:space="preserve">iffusivity (AD) and </w:t>
      </w:r>
      <w:r w:rsidR="00AE40F9">
        <w:rPr>
          <w:lang w:val="en-US"/>
        </w:rPr>
        <w:t>r</w:t>
      </w:r>
      <w:r w:rsidR="00AE40F9" w:rsidRPr="00863ECC">
        <w:rPr>
          <w:lang w:val="en-US"/>
        </w:rPr>
        <w:t xml:space="preserve">adial </w:t>
      </w:r>
      <w:r w:rsidR="00AE40F9">
        <w:rPr>
          <w:lang w:val="en-US"/>
        </w:rPr>
        <w:t>d</w:t>
      </w:r>
      <w:r w:rsidR="00AE40F9" w:rsidRPr="00863ECC">
        <w:rPr>
          <w:lang w:val="en-US"/>
        </w:rPr>
        <w:t>iffusivity (RD)</w:t>
      </w:r>
      <w:r w:rsidR="00AE40F9">
        <w:rPr>
          <w:lang w:val="en-US"/>
        </w:rPr>
        <w:t xml:space="preserve"> were obtained</w:t>
      </w:r>
      <w:r w:rsidR="00FD6A3E">
        <w:rPr>
          <w:lang w:val="en-US"/>
        </w:rPr>
        <w:t>.</w:t>
      </w:r>
      <w:r w:rsidR="0091178F">
        <w:rPr>
          <w:lang w:val="en-US"/>
        </w:rPr>
        <w:t xml:space="preserve"> </w:t>
      </w:r>
      <w:r w:rsidR="00FD6A3E">
        <w:rPr>
          <w:lang w:val="en-US"/>
        </w:rPr>
        <w:t>T</w:t>
      </w:r>
      <w:r w:rsidR="0091178F">
        <w:rPr>
          <w:lang w:val="en-US"/>
        </w:rPr>
        <w:t xml:space="preserve">ractograms </w:t>
      </w:r>
      <w:r w:rsidR="00FD6A3E">
        <w:rPr>
          <w:lang w:val="en-US"/>
        </w:rPr>
        <w:t xml:space="preserve">also </w:t>
      </w:r>
      <w:r w:rsidR="00194868">
        <w:rPr>
          <w:lang w:val="en-US"/>
        </w:rPr>
        <w:t xml:space="preserve">were generated </w:t>
      </w:r>
      <w:r w:rsidR="00FD6A3E">
        <w:rPr>
          <w:lang w:val="en-US"/>
        </w:rPr>
        <w:t xml:space="preserve">to visualize WM tracts </w:t>
      </w:r>
      <w:r w:rsidR="00676541">
        <w:rPr>
          <w:lang w:val="en-US"/>
        </w:rPr>
        <w:t xml:space="preserve">from </w:t>
      </w:r>
      <w:r w:rsidR="00FD6A3E">
        <w:rPr>
          <w:lang w:val="en-US"/>
        </w:rPr>
        <w:t xml:space="preserve">tensor model and CSD </w:t>
      </w:r>
      <w:r w:rsidR="00676541">
        <w:rPr>
          <w:lang w:val="en-US"/>
        </w:rPr>
        <w:t xml:space="preserve">methods </w:t>
      </w:r>
      <w:r w:rsidR="00AE40F9">
        <w:rPr>
          <w:lang w:val="en-US"/>
        </w:rPr>
        <w:t>(</w:t>
      </w:r>
      <w:r w:rsidR="00AE40F9" w:rsidRPr="00863ECC">
        <w:rPr>
          <w:lang w:val="en-US"/>
        </w:rPr>
        <w:t>MRTrix</w:t>
      </w:r>
      <w:r w:rsidR="00AE40F9">
        <w:rPr>
          <w:lang w:val="en-US"/>
        </w:rPr>
        <w:t xml:space="preserve">, </w:t>
      </w:r>
      <w:hyperlink r:id="rId6" w:history="1">
        <w:r w:rsidR="0024579E" w:rsidRPr="00FA6C54">
          <w:rPr>
            <w:rStyle w:val="Hyperlink"/>
            <w:lang w:val="en-US"/>
          </w:rPr>
          <w:t>http://www.mrtrix.org</w:t>
        </w:r>
      </w:hyperlink>
      <w:r w:rsidR="001B1026">
        <w:rPr>
          <w:lang w:val="en-US"/>
        </w:rPr>
        <w:t xml:space="preserve"> [3]</w:t>
      </w:r>
      <w:r w:rsidR="00495305">
        <w:rPr>
          <w:lang w:val="en-US"/>
        </w:rPr>
        <w:t>)</w:t>
      </w:r>
      <w:r w:rsidR="001B1026">
        <w:rPr>
          <w:lang w:val="en-CA"/>
        </w:rPr>
        <w:t xml:space="preserve"> </w:t>
      </w:r>
      <w:r w:rsidR="00F37443">
        <w:rPr>
          <w:lang w:val="en-CA"/>
        </w:rPr>
        <w:t xml:space="preserve">using seed regions </w:t>
      </w:r>
      <w:r w:rsidR="005A0C8E">
        <w:rPr>
          <w:lang w:val="en-CA"/>
        </w:rPr>
        <w:t>defined by</w:t>
      </w:r>
      <w:r w:rsidR="00F37443">
        <w:rPr>
          <w:lang w:val="en-CA"/>
        </w:rPr>
        <w:t xml:space="preserve"> </w:t>
      </w:r>
      <w:r w:rsidR="00FD6A3E">
        <w:rPr>
          <w:lang w:val="en-CA"/>
        </w:rPr>
        <w:t xml:space="preserve">seven </w:t>
      </w:r>
      <w:r w:rsidR="00921BD2">
        <w:rPr>
          <w:lang w:val="en-CA"/>
        </w:rPr>
        <w:t xml:space="preserve">template-defined </w:t>
      </w:r>
      <w:r w:rsidR="00F37443">
        <w:rPr>
          <w:lang w:val="en-CA"/>
        </w:rPr>
        <w:t>resting state networks</w:t>
      </w:r>
      <w:r w:rsidR="005435AE">
        <w:rPr>
          <w:lang w:val="en-CA"/>
        </w:rPr>
        <w:t xml:space="preserve"> (RSNs)</w:t>
      </w:r>
      <w:r w:rsidR="00FD6A3E">
        <w:rPr>
          <w:lang w:val="en-CA"/>
        </w:rPr>
        <w:t>.</w:t>
      </w:r>
      <w:r w:rsidR="00770924">
        <w:rPr>
          <w:lang w:val="en-CA"/>
        </w:rPr>
        <w:t>[4]</w:t>
      </w:r>
      <w:r w:rsidR="00F37443">
        <w:rPr>
          <w:lang w:val="en-CA"/>
        </w:rPr>
        <w:t xml:space="preserve"> </w:t>
      </w:r>
      <w:r w:rsidR="000858B5">
        <w:rPr>
          <w:lang w:val="en-US"/>
        </w:rPr>
        <w:t>Statistical analysis (</w:t>
      </w:r>
      <w:r w:rsidR="000858B5" w:rsidRPr="00863ECC">
        <w:rPr>
          <w:lang w:val="en-US"/>
        </w:rPr>
        <w:t>SPSS Statistics</w:t>
      </w:r>
      <w:r w:rsidR="000858B5">
        <w:rPr>
          <w:lang w:val="en-US"/>
        </w:rPr>
        <w:t>, IBM) were conducted using</w:t>
      </w:r>
      <w:r w:rsidR="000858B5" w:rsidRPr="00863ECC">
        <w:rPr>
          <w:lang w:val="en-US"/>
        </w:rPr>
        <w:t xml:space="preserve"> </w:t>
      </w:r>
      <w:r w:rsidR="000858B5">
        <w:rPr>
          <w:lang w:val="en-US"/>
        </w:rPr>
        <w:t>p</w:t>
      </w:r>
      <w:r w:rsidR="000858B5" w:rsidRPr="00863ECC">
        <w:rPr>
          <w:lang w:val="en-US"/>
        </w:rPr>
        <w:t xml:space="preserve">aired </w:t>
      </w:r>
      <w:r w:rsidR="000858B5" w:rsidRPr="00A0622C">
        <w:rPr>
          <w:i/>
          <w:lang w:val="en-US"/>
        </w:rPr>
        <w:t>t</w:t>
      </w:r>
      <w:r w:rsidR="007A7B21">
        <w:rPr>
          <w:lang w:val="en-US"/>
        </w:rPr>
        <w:t xml:space="preserve">-test and </w:t>
      </w:r>
      <w:r w:rsidR="000858B5" w:rsidRPr="00863ECC">
        <w:rPr>
          <w:lang w:val="en-US"/>
        </w:rPr>
        <w:t xml:space="preserve">Pearson </w:t>
      </w:r>
      <w:r w:rsidR="000858B5">
        <w:rPr>
          <w:lang w:val="en-US"/>
        </w:rPr>
        <w:t>c</w:t>
      </w:r>
      <w:r w:rsidR="000858B5" w:rsidRPr="00863ECC">
        <w:rPr>
          <w:lang w:val="en-US"/>
        </w:rPr>
        <w:t>orrelation</w:t>
      </w:r>
      <w:r w:rsidR="000858B5">
        <w:rPr>
          <w:lang w:val="en-US"/>
        </w:rPr>
        <w:t xml:space="preserve"> as appropriate</w:t>
      </w:r>
      <w:r w:rsidR="000858B5" w:rsidRPr="00863ECC">
        <w:rPr>
          <w:lang w:val="en-US"/>
        </w:rPr>
        <w:t>.</w:t>
      </w:r>
      <w:r w:rsidR="00470D30" w:rsidRPr="000647A7" w:rsidDel="00470D30">
        <w:rPr>
          <w:lang w:val="en-CA"/>
        </w:rPr>
        <w:t xml:space="preserve"> </w:t>
      </w:r>
    </w:p>
    <w:tbl>
      <w:tblPr>
        <w:tblStyle w:val="TableGrid"/>
        <w:tblpPr w:leftFromText="142" w:rightFromText="142" w:tblpYSpec="bottom"/>
        <w:tblW w:w="4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</w:tblGrid>
      <w:tr w:rsidR="00DE0165" w14:paraId="689E38BC" w14:textId="77777777" w:rsidTr="00C00F8D">
        <w:tc>
          <w:tcPr>
            <w:tcW w:w="2678" w:type="dxa"/>
          </w:tcPr>
          <w:p w14:paraId="5E25BBB0" w14:textId="36BB2237" w:rsidR="00470D30" w:rsidRDefault="00C00F8D" w:rsidP="00DD5D20">
            <w:pPr>
              <w:jc w:val="both"/>
              <w:rPr>
                <w:b/>
                <w:lang w:val="en-US"/>
              </w:rPr>
            </w:pPr>
            <w:r w:rsidRPr="00C00F8D">
              <w:rPr>
                <w:b/>
                <w:noProof/>
                <w:lang w:val="en-US"/>
              </w:rPr>
              <w:drawing>
                <wp:inline distT="0" distB="0" distL="0" distR="0" wp14:anchorId="441C642F" wp14:editId="103C2E80">
                  <wp:extent cx="2983230" cy="17900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230" cy="179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165" w14:paraId="4E2C96D5" w14:textId="77777777" w:rsidTr="00C00F8D">
        <w:tc>
          <w:tcPr>
            <w:tcW w:w="2678" w:type="dxa"/>
          </w:tcPr>
          <w:p w14:paraId="18F3706C" w14:textId="307B4BDC" w:rsidR="00470D30" w:rsidRDefault="00470D30" w:rsidP="00DD5D20">
            <w:pPr>
              <w:spacing w:before="40"/>
              <w:jc w:val="both"/>
              <w:rPr>
                <w:b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Fig.</w:t>
            </w:r>
            <w:r w:rsidRPr="000144AE">
              <w:rPr>
                <w:i/>
                <w:sz w:val="20"/>
                <w:szCs w:val="20"/>
                <w:lang w:val="en-US"/>
              </w:rPr>
              <w:t xml:space="preserve">1: </w:t>
            </w:r>
            <w:r>
              <w:rPr>
                <w:i/>
                <w:sz w:val="20"/>
                <w:szCs w:val="20"/>
                <w:lang w:val="en-US"/>
              </w:rPr>
              <w:t>WM tracts depicted from</w:t>
            </w:r>
            <w:r w:rsidRPr="000144AE">
              <w:rPr>
                <w:i/>
                <w:sz w:val="20"/>
                <w:szCs w:val="20"/>
                <w:lang w:val="en-US"/>
              </w:rPr>
              <w:t xml:space="preserve"> DTI</w:t>
            </w:r>
            <w:r w:rsidR="00661CC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144AE">
              <w:rPr>
                <w:i/>
                <w:sz w:val="20"/>
                <w:szCs w:val="20"/>
                <w:lang w:val="en-US"/>
              </w:rPr>
              <w:t>(left) and CSD</w:t>
            </w:r>
            <w:r>
              <w:rPr>
                <w:i/>
                <w:sz w:val="20"/>
                <w:szCs w:val="20"/>
                <w:lang w:val="en-US"/>
              </w:rPr>
              <w:t xml:space="preserve"> (right) methods using a seed region</w:t>
            </w:r>
            <w:r w:rsidR="00E5664E">
              <w:rPr>
                <w:i/>
                <w:sz w:val="20"/>
                <w:szCs w:val="20"/>
                <w:lang w:val="en-US"/>
              </w:rPr>
              <w:t xml:space="preserve"> </w:t>
            </w:r>
            <w:r w:rsidR="0060511E">
              <w:rPr>
                <w:i/>
                <w:sz w:val="20"/>
                <w:szCs w:val="20"/>
                <w:lang w:val="en-US"/>
              </w:rPr>
              <w:t xml:space="preserve">in </w:t>
            </w:r>
            <w:r w:rsidR="009643BE">
              <w:rPr>
                <w:i/>
                <w:sz w:val="20"/>
                <w:szCs w:val="20"/>
                <w:lang w:val="en-US"/>
              </w:rPr>
              <w:t>a representative</w:t>
            </w:r>
            <w:r w:rsidR="006051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E5664E">
              <w:rPr>
                <w:i/>
                <w:sz w:val="20"/>
                <w:szCs w:val="20"/>
                <w:lang w:val="en-US"/>
              </w:rPr>
              <w:t>subject</w:t>
            </w:r>
            <w:r w:rsidR="009643BE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</w:tbl>
    <w:tbl>
      <w:tblPr>
        <w:tblStyle w:val="TableGrid"/>
        <w:tblpPr w:leftFromText="142" w:rightFromText="142" w:horzAnchor="margin" w:tblpXSpec="right" w:tblpYSpec="bottom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711"/>
        <w:gridCol w:w="1701"/>
      </w:tblGrid>
      <w:tr w:rsidR="00C00F8D" w14:paraId="67D028A5" w14:textId="77777777" w:rsidTr="007D53A8">
        <w:tc>
          <w:tcPr>
            <w:tcW w:w="4678" w:type="dxa"/>
            <w:gridSpan w:val="3"/>
          </w:tcPr>
          <w:p w14:paraId="745479C3" w14:textId="7AE90C20" w:rsidR="00C00F8D" w:rsidRPr="0026085A" w:rsidRDefault="00C00F8D" w:rsidP="00DD5D20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Table 1: </w:t>
            </w:r>
            <w:r w:rsidR="0036118C">
              <w:rPr>
                <w:i/>
                <w:sz w:val="20"/>
                <w:szCs w:val="20"/>
                <w:lang w:val="en-US"/>
              </w:rPr>
              <w:t xml:space="preserve">Pearson correlation </w:t>
            </w:r>
            <w:r w:rsidR="005872A3">
              <w:rPr>
                <w:i/>
                <w:sz w:val="20"/>
                <w:szCs w:val="20"/>
                <w:lang w:val="en-US"/>
              </w:rPr>
              <w:t xml:space="preserve">versus age </w:t>
            </w:r>
            <w:r w:rsidR="00913141">
              <w:rPr>
                <w:i/>
                <w:sz w:val="20"/>
                <w:szCs w:val="20"/>
                <w:lang w:val="en-US"/>
              </w:rPr>
              <w:t>in</w:t>
            </w:r>
            <w:r w:rsidR="005872A3">
              <w:rPr>
                <w:i/>
                <w:sz w:val="20"/>
                <w:szCs w:val="20"/>
                <w:lang w:val="en-US"/>
              </w:rPr>
              <w:t xml:space="preserve"> WM </w:t>
            </w:r>
            <w:r w:rsidR="00913141">
              <w:rPr>
                <w:i/>
                <w:sz w:val="20"/>
                <w:szCs w:val="20"/>
                <w:lang w:val="en-US"/>
              </w:rPr>
              <w:t>tracts associated with</w:t>
            </w:r>
            <w:r w:rsidR="005872A3">
              <w:rPr>
                <w:i/>
                <w:sz w:val="20"/>
                <w:szCs w:val="20"/>
                <w:lang w:val="en-US"/>
              </w:rPr>
              <w:t xml:space="preserve"> the </w:t>
            </w:r>
            <w:r w:rsidR="00985A24">
              <w:rPr>
                <w:i/>
                <w:sz w:val="20"/>
                <w:szCs w:val="20"/>
                <w:lang w:val="en-US"/>
              </w:rPr>
              <w:t>default mode</w:t>
            </w:r>
            <w:r w:rsidR="005872A3">
              <w:rPr>
                <w:i/>
                <w:sz w:val="20"/>
                <w:szCs w:val="20"/>
                <w:lang w:val="en-US"/>
              </w:rPr>
              <w:t xml:space="preserve"> </w:t>
            </w:r>
            <w:r w:rsidR="00913141">
              <w:rPr>
                <w:i/>
                <w:sz w:val="20"/>
                <w:szCs w:val="20"/>
                <w:lang w:val="en-US"/>
              </w:rPr>
              <w:t xml:space="preserve">resting state </w:t>
            </w:r>
            <w:r w:rsidR="005872A3">
              <w:rPr>
                <w:i/>
                <w:sz w:val="20"/>
                <w:szCs w:val="20"/>
                <w:lang w:val="en-US"/>
              </w:rPr>
              <w:t>network</w:t>
            </w:r>
          </w:p>
        </w:tc>
      </w:tr>
      <w:tr w:rsidR="001119DF" w14:paraId="18C01051" w14:textId="77777777" w:rsidTr="001119DF">
        <w:tc>
          <w:tcPr>
            <w:tcW w:w="1266" w:type="dxa"/>
            <w:tcBorders>
              <w:bottom w:val="single" w:sz="4" w:space="0" w:color="auto"/>
            </w:tcBorders>
          </w:tcPr>
          <w:p w14:paraId="37B4370E" w14:textId="77777777" w:rsidR="00C00F8D" w:rsidRPr="0026085A" w:rsidRDefault="00C00F8D" w:rsidP="00DD5D20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6085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DTI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Pr="0026085A">
              <w:rPr>
                <w:rFonts w:ascii="Arial" w:hAnsi="Arial" w:cs="Arial"/>
                <w:b/>
                <w:sz w:val="20"/>
                <w:szCs w:val="20"/>
                <w:lang w:val="en-US"/>
              </w:rPr>
              <w:t>etric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7B0EA42" w14:textId="77777777" w:rsidR="00C00F8D" w:rsidRPr="0026085A" w:rsidRDefault="00C00F8D" w:rsidP="00DD5D20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6085A">
              <w:rPr>
                <w:rFonts w:ascii="Arial" w:hAnsi="Arial" w:cs="Arial"/>
                <w:b/>
                <w:sz w:val="20"/>
                <w:szCs w:val="20"/>
                <w:lang w:val="en-US"/>
              </w:rPr>
              <w:t>tensor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17951A" w14:textId="77777777" w:rsidR="00C00F8D" w:rsidRPr="0026085A" w:rsidRDefault="00C00F8D" w:rsidP="00DD5D20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6085A">
              <w:rPr>
                <w:rFonts w:ascii="Arial" w:hAnsi="Arial" w:cs="Arial"/>
                <w:b/>
                <w:sz w:val="20"/>
                <w:szCs w:val="20"/>
                <w:lang w:val="en-US"/>
              </w:rPr>
              <w:t>CSD</w:t>
            </w:r>
          </w:p>
        </w:tc>
      </w:tr>
      <w:tr w:rsidR="001119DF" w14:paraId="26930CD3" w14:textId="77777777" w:rsidTr="001119DF">
        <w:trPr>
          <w:trHeight w:val="60"/>
        </w:trPr>
        <w:tc>
          <w:tcPr>
            <w:tcW w:w="1266" w:type="dxa"/>
            <w:tcBorders>
              <w:top w:val="single" w:sz="4" w:space="0" w:color="auto"/>
            </w:tcBorders>
          </w:tcPr>
          <w:p w14:paraId="1B3EAF4C" w14:textId="77777777" w:rsidR="007D53A8" w:rsidRPr="007D53A8" w:rsidRDefault="007D53A8" w:rsidP="00DD5D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FA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4ED7AF1B" w14:textId="28F2D207" w:rsidR="007D53A8" w:rsidRPr="007D53A8" w:rsidRDefault="00E54607" w:rsidP="00DD5D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243433">
              <w:rPr>
                <w:rFonts w:ascii="Arial" w:hAnsi="Arial" w:cs="Arial"/>
                <w:sz w:val="16"/>
                <w:szCs w:val="16"/>
                <w:lang w:val="en-US"/>
              </w:rPr>
              <w:t>0.4</w:t>
            </w:r>
            <w:r w:rsidR="008943B2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24343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D53A8" w:rsidRPr="007D53A8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240AA3" w:rsidRPr="007D53A8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240AA3">
              <w:rPr>
                <w:rFonts w:ascii="Arial" w:hAnsi="Arial" w:cs="Arial"/>
                <w:sz w:val="16"/>
                <w:szCs w:val="16"/>
                <w:lang w:val="en-US"/>
              </w:rPr>
              <w:t>&lt;</w:t>
            </w:r>
            <w:r w:rsidR="00240AA3" w:rsidRPr="007D53A8"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  <w:r w:rsidR="00240AA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7D53A8" w:rsidRPr="007D53A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3657700" w14:textId="4F1CF69B" w:rsidR="007D53A8" w:rsidRPr="007D53A8" w:rsidRDefault="006A1802" w:rsidP="00DD5D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7D53A8" w:rsidRPr="007D53A8">
              <w:rPr>
                <w:rFonts w:ascii="Arial" w:hAnsi="Arial" w:cs="Arial"/>
                <w:sz w:val="16"/>
                <w:szCs w:val="16"/>
                <w:lang w:val="en-US"/>
              </w:rPr>
              <w:t>0.3</w:t>
            </w:r>
            <w:r w:rsidR="00A6241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="007D53A8" w:rsidRPr="007D53A8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7D53A8" w:rsidRPr="007D53A8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7D53A8" w:rsidRPr="007D53A8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r w:rsidR="00913141"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 w:rsidR="007D53A8" w:rsidRPr="007D53A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1119DF" w14:paraId="34F68E7C" w14:textId="77777777" w:rsidTr="001119DF">
        <w:tc>
          <w:tcPr>
            <w:tcW w:w="1266" w:type="dxa"/>
          </w:tcPr>
          <w:p w14:paraId="725FBB9D" w14:textId="77777777" w:rsidR="007D53A8" w:rsidRPr="007D53A8" w:rsidRDefault="007D53A8" w:rsidP="00DD5D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RD, mm</w:t>
            </w:r>
            <w:r w:rsidRPr="007D53A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 xml:space="preserve"> s</w:t>
            </w:r>
            <w:r w:rsidRPr="007D53A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1711" w:type="dxa"/>
          </w:tcPr>
          <w:p w14:paraId="5DAD6261" w14:textId="7BFA45AE" w:rsidR="007D53A8" w:rsidRPr="007D53A8" w:rsidRDefault="007D53A8" w:rsidP="00DD5D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0.5</w:t>
            </w:r>
            <w:r w:rsidR="00E36041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240AA3" w:rsidRPr="007D53A8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240AA3">
              <w:rPr>
                <w:rFonts w:ascii="Arial" w:hAnsi="Arial" w:cs="Arial"/>
                <w:sz w:val="16"/>
                <w:szCs w:val="16"/>
                <w:lang w:val="en-US"/>
              </w:rPr>
              <w:t>&lt;</w:t>
            </w:r>
            <w:r w:rsidR="00240AA3" w:rsidRPr="007D53A8"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  <w:r w:rsidR="00240AA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5FA41640" w14:textId="1CD5D3C2" w:rsidR="007D53A8" w:rsidRPr="007D53A8" w:rsidRDefault="00381473" w:rsidP="00DD5D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0.73</w:t>
            </w:r>
            <w:r w:rsidR="007D53A8" w:rsidRPr="007D53A8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7C3FBE" w:rsidRPr="007D53A8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7C3FBE">
              <w:rPr>
                <w:rFonts w:ascii="Arial" w:hAnsi="Arial" w:cs="Arial"/>
                <w:sz w:val="16"/>
                <w:szCs w:val="16"/>
                <w:lang w:val="en-US"/>
              </w:rPr>
              <w:t>&lt;</w:t>
            </w:r>
            <w:r w:rsidR="007C3FBE" w:rsidRPr="007D53A8"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  <w:r w:rsidR="007C3FBE">
              <w:rPr>
                <w:rFonts w:ascii="Arial" w:hAnsi="Arial" w:cs="Arial"/>
                <w:sz w:val="16"/>
                <w:szCs w:val="16"/>
                <w:lang w:val="en-US"/>
              </w:rPr>
              <w:t>1)</w:t>
            </w:r>
          </w:p>
        </w:tc>
      </w:tr>
      <w:tr w:rsidR="001119DF" w14:paraId="73D7C115" w14:textId="77777777" w:rsidTr="001119DF">
        <w:tc>
          <w:tcPr>
            <w:tcW w:w="1266" w:type="dxa"/>
          </w:tcPr>
          <w:p w14:paraId="71C500D6" w14:textId="77777777" w:rsidR="007D53A8" w:rsidRPr="007D53A8" w:rsidRDefault="007D53A8" w:rsidP="00DD5D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AD, mm</w:t>
            </w:r>
            <w:r w:rsidRPr="007D53A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 xml:space="preserve"> s</w:t>
            </w:r>
            <w:r w:rsidRPr="007D53A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1711" w:type="dxa"/>
          </w:tcPr>
          <w:p w14:paraId="2DBE111F" w14:textId="11657305" w:rsidR="007D53A8" w:rsidRPr="007D53A8" w:rsidRDefault="007D53A8" w:rsidP="00DD5D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7B7191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240AA3" w:rsidRPr="007D53A8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240AA3">
              <w:rPr>
                <w:rFonts w:ascii="Arial" w:hAnsi="Arial" w:cs="Arial"/>
                <w:sz w:val="16"/>
                <w:szCs w:val="16"/>
                <w:lang w:val="en-US"/>
              </w:rPr>
              <w:t>&lt;</w:t>
            </w:r>
            <w:r w:rsidR="00240AA3" w:rsidRPr="007D53A8"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  <w:r w:rsidR="00240AA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6FA3A402" w14:textId="52298DFF" w:rsidR="007D53A8" w:rsidRPr="007D53A8" w:rsidRDefault="007D53A8" w:rsidP="00DD5D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0.6</w:t>
            </w:r>
            <w:r w:rsidR="00B31B8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7C3FBE" w:rsidRPr="007D53A8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7C3FBE">
              <w:rPr>
                <w:rFonts w:ascii="Arial" w:hAnsi="Arial" w:cs="Arial"/>
                <w:sz w:val="16"/>
                <w:szCs w:val="16"/>
                <w:lang w:val="en-US"/>
              </w:rPr>
              <w:t>&lt;</w:t>
            </w:r>
            <w:r w:rsidR="007C3FBE" w:rsidRPr="007D53A8"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  <w:r w:rsidR="007C3FBE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1119DF" w14:paraId="67AC3179" w14:textId="77777777" w:rsidTr="001119DF">
        <w:tc>
          <w:tcPr>
            <w:tcW w:w="1266" w:type="dxa"/>
          </w:tcPr>
          <w:p w14:paraId="3717333F" w14:textId="77777777" w:rsidR="007D53A8" w:rsidRPr="007D53A8" w:rsidRDefault="007D53A8" w:rsidP="00DD5D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MD, mm</w:t>
            </w:r>
            <w:r w:rsidRPr="007D53A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 xml:space="preserve"> s</w:t>
            </w:r>
            <w:r w:rsidRPr="007D53A8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-1</w:t>
            </w:r>
          </w:p>
        </w:tc>
        <w:tc>
          <w:tcPr>
            <w:tcW w:w="1711" w:type="dxa"/>
          </w:tcPr>
          <w:p w14:paraId="1015D207" w14:textId="505614B6" w:rsidR="007D53A8" w:rsidRPr="007D53A8" w:rsidRDefault="007D53A8" w:rsidP="00DD5D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8B1F74">
              <w:rPr>
                <w:rFonts w:ascii="Arial" w:hAnsi="Arial" w:cs="Arial"/>
                <w:sz w:val="16"/>
                <w:szCs w:val="16"/>
                <w:lang w:val="en-US"/>
              </w:rPr>
              <w:t>56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240AA3" w:rsidRPr="007D53A8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240AA3">
              <w:rPr>
                <w:rFonts w:ascii="Arial" w:hAnsi="Arial" w:cs="Arial"/>
                <w:sz w:val="16"/>
                <w:szCs w:val="16"/>
                <w:lang w:val="en-US"/>
              </w:rPr>
              <w:t>&lt;</w:t>
            </w:r>
            <w:r w:rsidR="00240AA3" w:rsidRPr="007D53A8"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  <w:r w:rsidR="00240AA3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8B1F7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30271DBA" w14:textId="22909FCF" w:rsidR="007D53A8" w:rsidRPr="007D53A8" w:rsidRDefault="007D53A8" w:rsidP="00DD5D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 w:rsidR="008B1F74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B50A0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7D53A8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8B1F74">
              <w:rPr>
                <w:rFonts w:ascii="Arial" w:hAnsi="Arial" w:cs="Arial"/>
                <w:sz w:val="16"/>
                <w:szCs w:val="16"/>
                <w:lang w:val="en-US"/>
              </w:rPr>
              <w:t>&lt;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  <w:r w:rsidR="008B1F7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D53A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</w:tbl>
    <w:p w14:paraId="5311C4C1" w14:textId="36088D69" w:rsidR="000647A7" w:rsidRPr="00DD5D20" w:rsidRDefault="00263FB4" w:rsidP="00DD5D20">
      <w:pPr>
        <w:jc w:val="both"/>
        <w:rPr>
          <w:rFonts w:eastAsia="Times New Roman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DD5D20">
        <w:rPr>
          <w:rFonts w:eastAsia="Times New Roman"/>
        </w:rPr>
        <w:t xml:space="preserve">The CSD method allowed visualization of more WM </w:t>
      </w:r>
      <w:r w:rsidR="009A1586" w:rsidRPr="00863ECC">
        <w:rPr>
          <w:lang w:val="en-US"/>
        </w:rPr>
        <w:t xml:space="preserve">tracts </w:t>
      </w:r>
      <w:r w:rsidR="009A1586">
        <w:rPr>
          <w:lang w:val="en-US"/>
        </w:rPr>
        <w:t>compared to the tensor</w:t>
      </w:r>
      <w:r w:rsidR="009A1586" w:rsidRPr="00863ECC">
        <w:rPr>
          <w:lang w:val="en-US"/>
        </w:rPr>
        <w:t xml:space="preserve"> </w:t>
      </w:r>
      <w:r w:rsidR="00FD6A3E">
        <w:rPr>
          <w:lang w:val="en-US"/>
        </w:rPr>
        <w:t xml:space="preserve">model </w:t>
      </w:r>
      <w:r w:rsidR="009A1586">
        <w:rPr>
          <w:lang w:val="en-US"/>
        </w:rPr>
        <w:t xml:space="preserve">and better </w:t>
      </w:r>
      <w:r w:rsidR="00AA5D2C">
        <w:rPr>
          <w:lang w:val="en-US"/>
        </w:rPr>
        <w:t>delineated</w:t>
      </w:r>
      <w:r w:rsidR="009A1586">
        <w:rPr>
          <w:lang w:val="en-US"/>
        </w:rPr>
        <w:t xml:space="preserve"> </w:t>
      </w:r>
      <w:r w:rsidR="006D6F00">
        <w:rPr>
          <w:lang w:val="en-US"/>
        </w:rPr>
        <w:t xml:space="preserve">WM in </w:t>
      </w:r>
      <w:r w:rsidR="009243DC">
        <w:rPr>
          <w:lang w:val="en-US"/>
        </w:rPr>
        <w:t>voxels</w:t>
      </w:r>
      <w:r w:rsidR="009A1586">
        <w:rPr>
          <w:lang w:val="en-US"/>
        </w:rPr>
        <w:t xml:space="preserve"> with</w:t>
      </w:r>
      <w:r w:rsidR="009A1586" w:rsidRPr="00863ECC">
        <w:rPr>
          <w:lang w:val="en-US"/>
        </w:rPr>
        <w:t xml:space="preserve"> crossing fibers</w:t>
      </w:r>
      <w:r w:rsidR="00FD6A3E">
        <w:rPr>
          <w:lang w:val="en-US"/>
        </w:rPr>
        <w:t>,</w:t>
      </w:r>
      <w:r w:rsidR="007C1BB6">
        <w:rPr>
          <w:lang w:val="en-US"/>
        </w:rPr>
        <w:t xml:space="preserve"> as expected</w:t>
      </w:r>
      <w:r w:rsidR="00C025CC">
        <w:rPr>
          <w:lang w:val="en-US"/>
        </w:rPr>
        <w:t xml:space="preserve"> (Fig.</w:t>
      </w:r>
      <w:r w:rsidR="005A0C8E">
        <w:rPr>
          <w:lang w:val="en-US"/>
        </w:rPr>
        <w:t xml:space="preserve"> </w:t>
      </w:r>
      <w:r w:rsidR="009A1586">
        <w:rPr>
          <w:lang w:val="en-US"/>
        </w:rPr>
        <w:t>1)</w:t>
      </w:r>
      <w:r w:rsidR="009A1586" w:rsidRPr="00863ECC">
        <w:rPr>
          <w:lang w:val="en-US"/>
        </w:rPr>
        <w:t xml:space="preserve">. </w:t>
      </w:r>
      <w:r w:rsidR="009058BE">
        <w:rPr>
          <w:lang w:val="en-US"/>
        </w:rPr>
        <w:t>Mean</w:t>
      </w:r>
      <w:r w:rsidR="00303832">
        <w:rPr>
          <w:lang w:val="en-US"/>
        </w:rPr>
        <w:t xml:space="preserve"> </w:t>
      </w:r>
      <w:r w:rsidR="009A1586">
        <w:rPr>
          <w:lang w:val="en-US"/>
        </w:rPr>
        <w:t>MD</w:t>
      </w:r>
      <w:r w:rsidR="009A1586" w:rsidRPr="00863ECC">
        <w:rPr>
          <w:lang w:val="en-US"/>
        </w:rPr>
        <w:t>, AD and RD</w:t>
      </w:r>
      <w:r w:rsidR="002011E5">
        <w:rPr>
          <w:lang w:val="en-US"/>
        </w:rPr>
        <w:t xml:space="preserve"> of WM tracts</w:t>
      </w:r>
      <w:r w:rsidR="00F2747E">
        <w:rPr>
          <w:lang w:val="en-US"/>
        </w:rPr>
        <w:t xml:space="preserve"> associated in </w:t>
      </w:r>
      <w:r w:rsidR="00FD4F19">
        <w:rPr>
          <w:lang w:val="en-US"/>
        </w:rPr>
        <w:t>each</w:t>
      </w:r>
      <w:r w:rsidR="00F2747E">
        <w:rPr>
          <w:lang w:val="en-US"/>
        </w:rPr>
        <w:t xml:space="preserve"> </w:t>
      </w:r>
      <w:r w:rsidR="00150B6D">
        <w:rPr>
          <w:lang w:val="en-US"/>
        </w:rPr>
        <w:t>RSN</w:t>
      </w:r>
      <w:r w:rsidR="009A1586" w:rsidRPr="00863ECC">
        <w:rPr>
          <w:lang w:val="en-US"/>
        </w:rPr>
        <w:t xml:space="preserve"> </w:t>
      </w:r>
      <w:r w:rsidR="009058BE">
        <w:rPr>
          <w:lang w:val="en-US"/>
        </w:rPr>
        <w:t>were</w:t>
      </w:r>
      <w:r w:rsidR="00FA2C3E">
        <w:rPr>
          <w:lang w:val="en-US"/>
        </w:rPr>
        <w:t xml:space="preserve"> significantly</w:t>
      </w:r>
      <w:r w:rsidR="009D27FF">
        <w:rPr>
          <w:lang w:val="en-US"/>
        </w:rPr>
        <w:t xml:space="preserve"> (</w:t>
      </w:r>
      <w:r w:rsidR="009D27FF" w:rsidRPr="00CD545C">
        <w:rPr>
          <w:i/>
          <w:lang w:val="en-US"/>
        </w:rPr>
        <w:t>i.e.</w:t>
      </w:r>
      <w:r w:rsidR="00204BB2" w:rsidRPr="00204BB2">
        <w:rPr>
          <w:lang w:val="en-US"/>
        </w:rPr>
        <w:t>,</w:t>
      </w:r>
      <w:r w:rsidR="009D27FF">
        <w:rPr>
          <w:lang w:val="en-US"/>
        </w:rPr>
        <w:t xml:space="preserve"> </w:t>
      </w:r>
      <w:r w:rsidR="009D27FF" w:rsidRPr="00CD545C">
        <w:rPr>
          <w:i/>
          <w:lang w:val="en-US"/>
        </w:rPr>
        <w:t>p&lt;0.05</w:t>
      </w:r>
      <w:r w:rsidR="009D27FF">
        <w:rPr>
          <w:lang w:val="en-US"/>
        </w:rPr>
        <w:t>)</w:t>
      </w:r>
      <w:r w:rsidR="00FA2C3E">
        <w:rPr>
          <w:lang w:val="en-US"/>
        </w:rPr>
        <w:t xml:space="preserve"> higher</w:t>
      </w:r>
      <w:r w:rsidR="009A1586" w:rsidRPr="00863ECC">
        <w:rPr>
          <w:lang w:val="en-US"/>
        </w:rPr>
        <w:t xml:space="preserve">, while </w:t>
      </w:r>
      <w:r w:rsidR="00526EF7">
        <w:rPr>
          <w:lang w:val="en-US"/>
        </w:rPr>
        <w:t xml:space="preserve">mean </w:t>
      </w:r>
      <w:r w:rsidR="009A1586" w:rsidRPr="00863ECC">
        <w:rPr>
          <w:lang w:val="en-US"/>
        </w:rPr>
        <w:t xml:space="preserve">FA </w:t>
      </w:r>
      <w:r w:rsidR="00526EF7">
        <w:rPr>
          <w:lang w:val="en-US"/>
        </w:rPr>
        <w:t>was</w:t>
      </w:r>
      <w:r w:rsidR="009A1586">
        <w:rPr>
          <w:lang w:val="en-US"/>
        </w:rPr>
        <w:t xml:space="preserve"> significantly lower</w:t>
      </w:r>
      <w:r w:rsidR="00D1595E">
        <w:rPr>
          <w:lang w:val="en-US"/>
        </w:rPr>
        <w:t>, for CSD over the tensor model</w:t>
      </w:r>
      <w:r w:rsidR="009A1586" w:rsidRPr="00863ECC">
        <w:rPr>
          <w:lang w:val="en-US"/>
        </w:rPr>
        <w:t xml:space="preserve">. </w:t>
      </w:r>
      <w:r w:rsidR="007A32B7">
        <w:rPr>
          <w:lang w:val="en-US"/>
        </w:rPr>
        <w:t xml:space="preserve">Mean </w:t>
      </w:r>
      <w:r w:rsidR="009A1586">
        <w:rPr>
          <w:lang w:val="en-US"/>
        </w:rPr>
        <w:t>MD</w:t>
      </w:r>
      <w:r w:rsidR="009A1586" w:rsidRPr="00863ECC">
        <w:rPr>
          <w:lang w:val="en-US"/>
        </w:rPr>
        <w:t>, AD and RD</w:t>
      </w:r>
      <w:r w:rsidR="009A1586">
        <w:rPr>
          <w:lang w:val="en-US"/>
        </w:rPr>
        <w:t xml:space="preserve"> were positively correlated while </w:t>
      </w:r>
      <w:r w:rsidR="00930326">
        <w:rPr>
          <w:lang w:val="en-US"/>
        </w:rPr>
        <w:t xml:space="preserve">mean </w:t>
      </w:r>
      <w:r w:rsidR="009A1586" w:rsidRPr="00863ECC">
        <w:rPr>
          <w:lang w:val="en-US"/>
        </w:rPr>
        <w:t xml:space="preserve">FA </w:t>
      </w:r>
      <w:r w:rsidR="009A1586">
        <w:rPr>
          <w:lang w:val="en-US"/>
        </w:rPr>
        <w:t>was negatively correlat</w:t>
      </w:r>
      <w:r w:rsidR="007E5014">
        <w:rPr>
          <w:lang w:val="en-US"/>
        </w:rPr>
        <w:t>ed</w:t>
      </w:r>
      <w:r w:rsidR="009A1586">
        <w:rPr>
          <w:lang w:val="en-US"/>
        </w:rPr>
        <w:t xml:space="preserve"> with age </w:t>
      </w:r>
      <w:r w:rsidR="00DA768B">
        <w:rPr>
          <w:lang w:val="en-US"/>
        </w:rPr>
        <w:t xml:space="preserve">in </w:t>
      </w:r>
      <w:r w:rsidR="008C323D">
        <w:rPr>
          <w:lang w:val="en-US"/>
        </w:rPr>
        <w:t>all</w:t>
      </w:r>
      <w:r w:rsidR="00DA768B">
        <w:rPr>
          <w:lang w:val="en-US"/>
        </w:rPr>
        <w:t xml:space="preserve"> </w:t>
      </w:r>
      <w:r w:rsidR="00E5649B">
        <w:rPr>
          <w:lang w:val="en-US"/>
        </w:rPr>
        <w:t xml:space="preserve">RSNs </w:t>
      </w:r>
      <w:r w:rsidR="00A45187">
        <w:rPr>
          <w:lang w:val="en-US"/>
        </w:rPr>
        <w:t>for</w:t>
      </w:r>
      <w:r w:rsidR="009A1586">
        <w:rPr>
          <w:lang w:val="en-US"/>
        </w:rPr>
        <w:t xml:space="preserve"> both methods</w:t>
      </w:r>
      <w:r w:rsidR="00BA0912">
        <w:rPr>
          <w:lang w:val="en-US"/>
        </w:rPr>
        <w:t xml:space="preserve"> (Table 1)</w:t>
      </w:r>
      <w:r w:rsidR="009A1586">
        <w:rPr>
          <w:lang w:val="en-US"/>
        </w:rPr>
        <w:t>.</w:t>
      </w:r>
    </w:p>
    <w:p w14:paraId="3F4A50AC" w14:textId="1F84582F" w:rsidR="000647A7" w:rsidRPr="000647A7" w:rsidRDefault="00263FB4" w:rsidP="00DD5D20">
      <w:pPr>
        <w:pStyle w:val="NormalWeb"/>
        <w:spacing w:before="100"/>
        <w:rPr>
          <w:lang w:val="en-CA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0647A7" w:rsidRPr="000647A7">
        <w:rPr>
          <w:lang w:val="en-CA"/>
        </w:rPr>
        <w:t xml:space="preserve">Our </w:t>
      </w:r>
      <w:r w:rsidR="00624412">
        <w:rPr>
          <w:lang w:val="en-CA"/>
        </w:rPr>
        <w:t>results agree with a recent study that compared metrics</w:t>
      </w:r>
      <w:r w:rsidR="00247D23">
        <w:rPr>
          <w:lang w:val="en-CA"/>
        </w:rPr>
        <w:t xml:space="preserve"> derived from tensor </w:t>
      </w:r>
      <w:r w:rsidR="00FD6A3E">
        <w:rPr>
          <w:lang w:val="en-CA"/>
        </w:rPr>
        <w:t xml:space="preserve">model </w:t>
      </w:r>
      <w:r w:rsidR="00247D23">
        <w:rPr>
          <w:lang w:val="en-CA"/>
        </w:rPr>
        <w:t>and CSD methods</w:t>
      </w:r>
      <w:r w:rsidR="00624412">
        <w:rPr>
          <w:lang w:val="en-CA"/>
        </w:rPr>
        <w:t xml:space="preserve"> in chronic stroke patients.</w:t>
      </w:r>
      <w:r w:rsidR="000647A7">
        <w:rPr>
          <w:lang w:val="en-CA"/>
        </w:rPr>
        <w:t>[</w:t>
      </w:r>
      <w:r w:rsidR="00152BC3">
        <w:rPr>
          <w:lang w:val="en-CA"/>
        </w:rPr>
        <w:t>5</w:t>
      </w:r>
      <w:r w:rsidR="000647A7" w:rsidRPr="000647A7">
        <w:rPr>
          <w:lang w:val="en-CA"/>
        </w:rPr>
        <w:t>]</w:t>
      </w:r>
      <w:r w:rsidR="00485B74">
        <w:rPr>
          <w:lang w:val="en-CA"/>
        </w:rPr>
        <w:t xml:space="preserve"> </w:t>
      </w:r>
      <w:r w:rsidR="00994EA2">
        <w:rPr>
          <w:lang w:val="en-CA"/>
        </w:rPr>
        <w:t>In addition, w</w:t>
      </w:r>
      <w:r w:rsidR="00994EA2" w:rsidRPr="000647A7">
        <w:rPr>
          <w:lang w:val="en-CA"/>
        </w:rPr>
        <w:t xml:space="preserve">e </w:t>
      </w:r>
      <w:r w:rsidR="00994EA2">
        <w:rPr>
          <w:lang w:val="en-CA"/>
        </w:rPr>
        <w:t>demonstrated</w:t>
      </w:r>
      <w:r w:rsidR="00994EA2" w:rsidRPr="000647A7">
        <w:rPr>
          <w:lang w:val="en-CA"/>
        </w:rPr>
        <w:t xml:space="preserve"> significant correlation between</w:t>
      </w:r>
      <w:r w:rsidR="00994EA2">
        <w:rPr>
          <w:lang w:val="en-CA"/>
        </w:rPr>
        <w:t xml:space="preserve"> </w:t>
      </w:r>
      <w:r w:rsidR="003C2172">
        <w:rPr>
          <w:lang w:val="en-CA"/>
        </w:rPr>
        <w:t xml:space="preserve">MD, AD, RD, and </w:t>
      </w:r>
      <w:r w:rsidR="00994EA2">
        <w:rPr>
          <w:lang w:val="en-CA"/>
        </w:rPr>
        <w:t>FA with</w:t>
      </w:r>
      <w:r w:rsidR="00994EA2" w:rsidRPr="000647A7">
        <w:rPr>
          <w:lang w:val="en-CA"/>
        </w:rPr>
        <w:t xml:space="preserve"> </w:t>
      </w:r>
      <w:r w:rsidR="00994EA2">
        <w:rPr>
          <w:lang w:val="en-CA"/>
        </w:rPr>
        <w:t xml:space="preserve">age </w:t>
      </w:r>
      <w:r w:rsidR="007E4F7F">
        <w:rPr>
          <w:lang w:val="en-CA"/>
        </w:rPr>
        <w:t xml:space="preserve">in most RSNs </w:t>
      </w:r>
      <w:r w:rsidR="00994EA2">
        <w:rPr>
          <w:lang w:val="en-CA"/>
        </w:rPr>
        <w:t xml:space="preserve">for </w:t>
      </w:r>
      <w:r w:rsidR="00994EA2" w:rsidRPr="000647A7">
        <w:rPr>
          <w:lang w:val="en-CA"/>
        </w:rPr>
        <w:t>both methods.</w:t>
      </w:r>
      <w:r w:rsidR="00994EA2">
        <w:rPr>
          <w:lang w:val="en-CA"/>
        </w:rPr>
        <w:t xml:space="preserve"> </w:t>
      </w:r>
      <w:r w:rsidR="001912D4">
        <w:rPr>
          <w:lang w:val="en-CA"/>
        </w:rPr>
        <w:t xml:space="preserve">At present, the </w:t>
      </w:r>
      <w:r w:rsidR="001912D4" w:rsidRPr="000647A7">
        <w:rPr>
          <w:lang w:val="en-CA"/>
        </w:rPr>
        <w:t>tensor model is the most widely used tractography method</w:t>
      </w:r>
      <w:r w:rsidR="001912D4">
        <w:rPr>
          <w:lang w:val="en-CA"/>
        </w:rPr>
        <w:t>, however,</w:t>
      </w:r>
      <w:r w:rsidR="001912D4" w:rsidRPr="000647A7">
        <w:rPr>
          <w:lang w:val="en-CA"/>
        </w:rPr>
        <w:t xml:space="preserve"> </w:t>
      </w:r>
      <w:r w:rsidR="004F366E">
        <w:rPr>
          <w:lang w:val="en-CA"/>
        </w:rPr>
        <w:t>i</w:t>
      </w:r>
      <w:r w:rsidR="00485B74" w:rsidRPr="000647A7">
        <w:rPr>
          <w:lang w:val="en-CA"/>
        </w:rPr>
        <w:t xml:space="preserve">t has been shown </w:t>
      </w:r>
      <w:r w:rsidR="00974EE1">
        <w:rPr>
          <w:lang w:val="en-CA"/>
        </w:rPr>
        <w:t xml:space="preserve">to misrepresent </w:t>
      </w:r>
      <w:r w:rsidR="004C55C3">
        <w:rPr>
          <w:lang w:val="en-CA"/>
        </w:rPr>
        <w:t xml:space="preserve">the actual WM anatomy </w:t>
      </w:r>
      <w:r w:rsidR="00B22423">
        <w:rPr>
          <w:lang w:val="en-CA"/>
        </w:rPr>
        <w:t xml:space="preserve">in certain brain regions </w:t>
      </w:r>
      <w:r w:rsidR="004C55C3">
        <w:rPr>
          <w:lang w:val="en-CA"/>
        </w:rPr>
        <w:t>compared to the CSD method</w:t>
      </w:r>
      <w:r w:rsidR="001A7727">
        <w:rPr>
          <w:lang w:val="en-CA"/>
        </w:rPr>
        <w:t>.</w:t>
      </w:r>
      <w:r w:rsidR="00485B74" w:rsidRPr="000647A7">
        <w:rPr>
          <w:lang w:val="en-CA"/>
        </w:rPr>
        <w:t>[</w:t>
      </w:r>
      <w:r w:rsidR="00485B74">
        <w:rPr>
          <w:lang w:val="en-CA"/>
        </w:rPr>
        <w:t>2</w:t>
      </w:r>
      <w:r w:rsidR="00485B74" w:rsidRPr="000647A7">
        <w:rPr>
          <w:lang w:val="en-CA"/>
        </w:rPr>
        <w:t>]</w:t>
      </w:r>
      <w:r w:rsidR="001A7727">
        <w:rPr>
          <w:lang w:val="en-CA"/>
        </w:rPr>
        <w:t xml:space="preserve"> </w:t>
      </w:r>
      <w:r w:rsidR="00175444">
        <w:rPr>
          <w:lang w:val="en-CA"/>
        </w:rPr>
        <w:t xml:space="preserve">Previous </w:t>
      </w:r>
      <w:r w:rsidR="00A1445A">
        <w:rPr>
          <w:lang w:val="en-CA"/>
        </w:rPr>
        <w:t xml:space="preserve">normal aging </w:t>
      </w:r>
      <w:r w:rsidR="00175444">
        <w:rPr>
          <w:lang w:val="en-CA"/>
        </w:rPr>
        <w:t>s</w:t>
      </w:r>
      <w:r w:rsidR="00C519B9">
        <w:rPr>
          <w:lang w:val="en-CA"/>
        </w:rPr>
        <w:t xml:space="preserve">tudies </w:t>
      </w:r>
      <w:r w:rsidR="004972B2">
        <w:rPr>
          <w:lang w:val="en-CA"/>
        </w:rPr>
        <w:t>may</w:t>
      </w:r>
      <w:r w:rsidR="008A0291">
        <w:rPr>
          <w:lang w:val="en-CA"/>
        </w:rPr>
        <w:t xml:space="preserve"> have</w:t>
      </w:r>
      <w:r w:rsidR="004972B2">
        <w:rPr>
          <w:lang w:val="en-CA"/>
        </w:rPr>
        <w:t xml:space="preserve"> underestimated </w:t>
      </w:r>
      <w:r w:rsidR="009A6C4B">
        <w:rPr>
          <w:lang w:val="en-CA"/>
        </w:rPr>
        <w:t xml:space="preserve">WM changes </w:t>
      </w:r>
      <w:r w:rsidR="00FD6A3E">
        <w:rPr>
          <w:lang w:val="en-CA"/>
        </w:rPr>
        <w:t>if they based</w:t>
      </w:r>
      <w:r w:rsidR="009970D2">
        <w:rPr>
          <w:lang w:val="en-CA"/>
        </w:rPr>
        <w:t xml:space="preserve"> the</w:t>
      </w:r>
      <w:r w:rsidR="00FD6A3E">
        <w:rPr>
          <w:lang w:val="en-CA"/>
        </w:rPr>
        <w:t>ir</w:t>
      </w:r>
      <w:r w:rsidR="009A6C4B">
        <w:rPr>
          <w:lang w:val="en-CA"/>
        </w:rPr>
        <w:t xml:space="preserve"> </w:t>
      </w:r>
      <w:r w:rsidR="00FD6A3E">
        <w:rPr>
          <w:lang w:val="en-CA"/>
        </w:rPr>
        <w:t>findings on</w:t>
      </w:r>
      <w:r w:rsidR="00C519B9">
        <w:rPr>
          <w:lang w:val="en-CA"/>
        </w:rPr>
        <w:t xml:space="preserve"> the tensor</w:t>
      </w:r>
      <w:r w:rsidR="000647A7" w:rsidRPr="000647A7">
        <w:rPr>
          <w:lang w:val="en-CA"/>
        </w:rPr>
        <w:t xml:space="preserve"> </w:t>
      </w:r>
      <w:r w:rsidR="002E6C75">
        <w:rPr>
          <w:lang w:val="en-CA"/>
        </w:rPr>
        <w:t>model.</w:t>
      </w:r>
    </w:p>
    <w:p w14:paraId="433EE76D" w14:textId="4AA86ACF" w:rsidR="009F09B0" w:rsidRDefault="00263FB4" w:rsidP="00DD5D20">
      <w:pPr>
        <w:pStyle w:val="NormalWeb"/>
        <w:spacing w:before="100"/>
        <w:rPr>
          <w:lang w:val="en-CA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FB18F0">
        <w:rPr>
          <w:lang w:val="en-CA"/>
        </w:rPr>
        <w:t>CSD method yields significantly different results than the tensor model</w:t>
      </w:r>
      <w:r w:rsidR="00B81A5F">
        <w:rPr>
          <w:lang w:val="en-CA"/>
        </w:rPr>
        <w:t xml:space="preserve"> and appears to provide more reliable result that </w:t>
      </w:r>
      <w:r w:rsidR="00FD6A3E">
        <w:rPr>
          <w:lang w:val="en-CA"/>
        </w:rPr>
        <w:t xml:space="preserve">better </w:t>
      </w:r>
      <w:r w:rsidR="00B81A5F">
        <w:rPr>
          <w:lang w:val="en-CA"/>
        </w:rPr>
        <w:t xml:space="preserve">reflect anatomy </w:t>
      </w:r>
      <w:r w:rsidR="00FD6A3E">
        <w:rPr>
          <w:lang w:val="en-CA"/>
        </w:rPr>
        <w:t>and inferences about</w:t>
      </w:r>
      <w:r w:rsidR="00B81A5F">
        <w:rPr>
          <w:lang w:val="en-CA"/>
        </w:rPr>
        <w:t xml:space="preserve"> </w:t>
      </w:r>
      <w:r w:rsidR="00920148">
        <w:rPr>
          <w:lang w:val="en-CA"/>
        </w:rPr>
        <w:t xml:space="preserve">WM </w:t>
      </w:r>
      <w:r w:rsidR="00B81A5F">
        <w:rPr>
          <w:lang w:val="en-CA"/>
        </w:rPr>
        <w:t>in normal aging.</w:t>
      </w:r>
      <w:r w:rsidR="00BA652E" w:rsidRPr="00BA652E">
        <w:rPr>
          <w:lang w:val="en-CA"/>
        </w:rPr>
        <w:t xml:space="preserve"> </w:t>
      </w:r>
    </w:p>
    <w:p w14:paraId="3A166862" w14:textId="77777777" w:rsidR="000079BE" w:rsidRPr="000079BE" w:rsidRDefault="000079BE" w:rsidP="000079BE">
      <w:pPr>
        <w:pStyle w:val="NormalWeb"/>
        <w:rPr>
          <w:lang w:val="en-CA"/>
        </w:rPr>
      </w:pPr>
    </w:p>
    <w:p w14:paraId="005B16A0" w14:textId="1FF56BF7" w:rsidR="00B66031" w:rsidRPr="0057524C" w:rsidRDefault="00263FB4" w:rsidP="000079BE">
      <w:pPr>
        <w:rPr>
          <w:sz w:val="22"/>
          <w:lang w:val="en-US"/>
        </w:rPr>
      </w:pPr>
      <w:r w:rsidRPr="0057524C">
        <w:rPr>
          <w:b/>
          <w:sz w:val="22"/>
          <w:lang w:val="en-US"/>
        </w:rPr>
        <w:t xml:space="preserve">References: </w:t>
      </w:r>
      <w:r w:rsidR="00252E94" w:rsidRPr="0057524C">
        <w:rPr>
          <w:sz w:val="22"/>
          <w:lang w:val="en-US"/>
        </w:rPr>
        <w:t xml:space="preserve">[1] O’Donnell LJ, </w:t>
      </w:r>
      <w:r w:rsidR="00BA0912" w:rsidRPr="0057524C">
        <w:rPr>
          <w:i/>
          <w:sz w:val="22"/>
          <w:lang w:val="en-US"/>
        </w:rPr>
        <w:t>et al</w:t>
      </w:r>
      <w:r w:rsidR="00BA0912" w:rsidRPr="0057524C">
        <w:rPr>
          <w:sz w:val="22"/>
          <w:lang w:val="en-US"/>
        </w:rPr>
        <w:t xml:space="preserve">., </w:t>
      </w:r>
      <w:r w:rsidR="00252E94" w:rsidRPr="0057524C">
        <w:rPr>
          <w:i/>
          <w:sz w:val="22"/>
          <w:lang w:val="en-US"/>
        </w:rPr>
        <w:t>Neurosurg Clin N Am</w:t>
      </w:r>
      <w:r w:rsidR="00252E94" w:rsidRPr="0057524C">
        <w:rPr>
          <w:sz w:val="22"/>
          <w:lang w:val="en-US"/>
        </w:rPr>
        <w:t xml:space="preserve"> </w:t>
      </w:r>
      <w:r w:rsidR="00252E94" w:rsidRPr="0057524C">
        <w:rPr>
          <w:b/>
          <w:sz w:val="22"/>
          <w:lang w:val="en-US"/>
        </w:rPr>
        <w:t>22</w:t>
      </w:r>
      <w:r w:rsidR="00252E94" w:rsidRPr="0057524C">
        <w:rPr>
          <w:sz w:val="22"/>
          <w:lang w:val="en-US"/>
        </w:rPr>
        <w:t>:</w:t>
      </w:r>
      <w:r w:rsidR="00BA0912" w:rsidRPr="0057524C">
        <w:rPr>
          <w:sz w:val="22"/>
          <w:lang w:val="en-US"/>
        </w:rPr>
        <w:t xml:space="preserve"> </w:t>
      </w:r>
      <w:r w:rsidR="00252E94" w:rsidRPr="0057524C">
        <w:rPr>
          <w:sz w:val="22"/>
          <w:lang w:val="en-US"/>
        </w:rPr>
        <w:t xml:space="preserve">185-196, 2011; </w:t>
      </w:r>
      <w:r w:rsidR="004D0177" w:rsidRPr="0057524C">
        <w:rPr>
          <w:sz w:val="22"/>
          <w:lang w:val="en-US"/>
        </w:rPr>
        <w:t>[</w:t>
      </w:r>
      <w:r w:rsidR="00252E94" w:rsidRPr="0057524C">
        <w:rPr>
          <w:sz w:val="22"/>
          <w:lang w:val="en-US"/>
        </w:rPr>
        <w:t>2</w:t>
      </w:r>
      <w:r w:rsidR="004D0177" w:rsidRPr="0057524C">
        <w:rPr>
          <w:sz w:val="22"/>
          <w:lang w:val="en-US"/>
        </w:rPr>
        <w:t>] Farquharson S</w:t>
      </w:r>
      <w:r w:rsidR="00B66031" w:rsidRPr="0057524C">
        <w:rPr>
          <w:sz w:val="22"/>
          <w:lang w:val="en-US"/>
        </w:rPr>
        <w:t>,</w:t>
      </w:r>
      <w:r w:rsidR="00BA0912" w:rsidRPr="0057524C">
        <w:rPr>
          <w:sz w:val="22"/>
          <w:lang w:val="en-US"/>
        </w:rPr>
        <w:t xml:space="preserve"> </w:t>
      </w:r>
      <w:r w:rsidR="00BA0912" w:rsidRPr="0057524C">
        <w:rPr>
          <w:i/>
          <w:sz w:val="22"/>
          <w:lang w:val="en-US"/>
        </w:rPr>
        <w:t>et al</w:t>
      </w:r>
      <w:r w:rsidR="00BA0912" w:rsidRPr="0057524C">
        <w:rPr>
          <w:sz w:val="22"/>
          <w:lang w:val="en-US"/>
        </w:rPr>
        <w:t>.,</w:t>
      </w:r>
      <w:r w:rsidR="00B66031" w:rsidRPr="0057524C">
        <w:rPr>
          <w:sz w:val="22"/>
          <w:lang w:val="en-US"/>
        </w:rPr>
        <w:t xml:space="preserve"> </w:t>
      </w:r>
      <w:r w:rsidR="00B66031" w:rsidRPr="0057524C">
        <w:rPr>
          <w:i/>
          <w:sz w:val="22"/>
          <w:lang w:val="en-US"/>
        </w:rPr>
        <w:t>J Neurosurg</w:t>
      </w:r>
      <w:r w:rsidR="00B66031" w:rsidRPr="0057524C">
        <w:rPr>
          <w:sz w:val="22"/>
          <w:lang w:val="en-US"/>
        </w:rPr>
        <w:t xml:space="preserve"> </w:t>
      </w:r>
      <w:r w:rsidR="00B66031" w:rsidRPr="0057524C">
        <w:rPr>
          <w:b/>
          <w:sz w:val="22"/>
          <w:lang w:val="en-US"/>
        </w:rPr>
        <w:t>118</w:t>
      </w:r>
      <w:r w:rsidR="00236F48" w:rsidRPr="0057524C">
        <w:rPr>
          <w:sz w:val="22"/>
          <w:lang w:val="en-US"/>
        </w:rPr>
        <w:t>:</w:t>
      </w:r>
      <w:r w:rsidR="00BA0912" w:rsidRPr="0057524C">
        <w:rPr>
          <w:sz w:val="22"/>
          <w:lang w:val="en-US"/>
        </w:rPr>
        <w:t xml:space="preserve"> </w:t>
      </w:r>
      <w:r w:rsidR="00236F48" w:rsidRPr="0057524C">
        <w:rPr>
          <w:sz w:val="22"/>
          <w:lang w:val="en-US"/>
        </w:rPr>
        <w:t>1367-1377, 2013</w:t>
      </w:r>
      <w:r w:rsidR="00B66031" w:rsidRPr="0057524C">
        <w:rPr>
          <w:sz w:val="22"/>
          <w:lang w:val="en-US"/>
        </w:rPr>
        <w:t xml:space="preserve">; </w:t>
      </w:r>
      <w:r w:rsidR="003613D6" w:rsidRPr="0057524C">
        <w:rPr>
          <w:sz w:val="22"/>
          <w:lang w:val="en-US"/>
        </w:rPr>
        <w:t>[</w:t>
      </w:r>
      <w:r w:rsidR="0026711E" w:rsidRPr="0057524C">
        <w:rPr>
          <w:sz w:val="22"/>
          <w:lang w:val="en-US"/>
        </w:rPr>
        <w:t>3</w:t>
      </w:r>
      <w:r w:rsidR="003613D6" w:rsidRPr="0057524C">
        <w:rPr>
          <w:sz w:val="22"/>
          <w:lang w:val="en-US"/>
        </w:rPr>
        <w:t>] Tournier J-D</w:t>
      </w:r>
      <w:r w:rsidR="00B66031" w:rsidRPr="0057524C">
        <w:rPr>
          <w:sz w:val="22"/>
          <w:lang w:val="en-US"/>
        </w:rPr>
        <w:t>,</w:t>
      </w:r>
      <w:r w:rsidR="00BA0912" w:rsidRPr="0057524C">
        <w:rPr>
          <w:sz w:val="22"/>
          <w:lang w:val="en-US"/>
        </w:rPr>
        <w:t xml:space="preserve"> </w:t>
      </w:r>
      <w:r w:rsidR="00BA0912" w:rsidRPr="0057524C">
        <w:rPr>
          <w:i/>
          <w:sz w:val="22"/>
          <w:lang w:val="en-US"/>
        </w:rPr>
        <w:t>et al</w:t>
      </w:r>
      <w:r w:rsidR="00BA0912" w:rsidRPr="0057524C">
        <w:rPr>
          <w:sz w:val="22"/>
          <w:lang w:val="en-US"/>
        </w:rPr>
        <w:t>.,</w:t>
      </w:r>
      <w:r w:rsidR="00B66031" w:rsidRPr="0057524C">
        <w:rPr>
          <w:sz w:val="22"/>
          <w:lang w:val="en-US"/>
        </w:rPr>
        <w:t xml:space="preserve"> </w:t>
      </w:r>
      <w:r w:rsidR="00BA652E" w:rsidRPr="0057524C">
        <w:rPr>
          <w:i/>
          <w:sz w:val="22"/>
          <w:lang w:val="en-US"/>
        </w:rPr>
        <w:t>Int J Imaging Syst Technol</w:t>
      </w:r>
      <w:r w:rsidR="00BA652E" w:rsidRPr="0057524C">
        <w:rPr>
          <w:sz w:val="22"/>
          <w:lang w:val="en-US"/>
        </w:rPr>
        <w:t xml:space="preserve">. </w:t>
      </w:r>
      <w:r w:rsidR="00BA652E" w:rsidRPr="0057524C">
        <w:rPr>
          <w:b/>
          <w:sz w:val="22"/>
          <w:lang w:val="en-US"/>
        </w:rPr>
        <w:t>22</w:t>
      </w:r>
      <w:r w:rsidR="000B6BB7" w:rsidRPr="0057524C">
        <w:rPr>
          <w:sz w:val="22"/>
          <w:lang w:val="en-US"/>
        </w:rPr>
        <w:t>:</w:t>
      </w:r>
      <w:r w:rsidR="00BA0912" w:rsidRPr="0057524C">
        <w:rPr>
          <w:sz w:val="22"/>
          <w:lang w:val="en-US"/>
        </w:rPr>
        <w:t xml:space="preserve"> </w:t>
      </w:r>
      <w:r w:rsidR="00BA652E" w:rsidRPr="0057524C">
        <w:rPr>
          <w:sz w:val="22"/>
          <w:lang w:val="en-US"/>
        </w:rPr>
        <w:t>53-66, 2012</w:t>
      </w:r>
      <w:r w:rsidR="00B66031" w:rsidRPr="0057524C">
        <w:rPr>
          <w:sz w:val="22"/>
          <w:lang w:val="en-US"/>
        </w:rPr>
        <w:t xml:space="preserve">; </w:t>
      </w:r>
      <w:r w:rsidR="009B1325" w:rsidRPr="0057524C">
        <w:rPr>
          <w:sz w:val="22"/>
          <w:lang w:val="en-US"/>
        </w:rPr>
        <w:t xml:space="preserve">[4] </w:t>
      </w:r>
      <w:r w:rsidR="003A5A66" w:rsidRPr="0057524C">
        <w:rPr>
          <w:sz w:val="22"/>
          <w:lang w:val="en-US"/>
        </w:rPr>
        <w:t>Yeo</w:t>
      </w:r>
      <w:r w:rsidR="00EE23B8" w:rsidRPr="0057524C">
        <w:rPr>
          <w:sz w:val="22"/>
          <w:lang w:val="en-US"/>
        </w:rPr>
        <w:t xml:space="preserve"> BT</w:t>
      </w:r>
      <w:r w:rsidR="003A5A66" w:rsidRPr="0057524C">
        <w:rPr>
          <w:sz w:val="22"/>
          <w:lang w:val="en-US"/>
        </w:rPr>
        <w:t>,</w:t>
      </w:r>
      <w:r w:rsidR="00BA0912" w:rsidRPr="0057524C">
        <w:rPr>
          <w:sz w:val="22"/>
          <w:lang w:val="en-US"/>
        </w:rPr>
        <w:t xml:space="preserve"> </w:t>
      </w:r>
      <w:r w:rsidR="00BA0912" w:rsidRPr="0057524C">
        <w:rPr>
          <w:i/>
          <w:sz w:val="22"/>
          <w:lang w:val="en-US"/>
        </w:rPr>
        <w:t>et al</w:t>
      </w:r>
      <w:r w:rsidR="00BA0912" w:rsidRPr="0057524C">
        <w:rPr>
          <w:sz w:val="22"/>
          <w:lang w:val="en-US"/>
        </w:rPr>
        <w:t>.,</w:t>
      </w:r>
      <w:r w:rsidR="003A5A66" w:rsidRPr="0057524C">
        <w:rPr>
          <w:sz w:val="22"/>
          <w:lang w:val="en-US"/>
        </w:rPr>
        <w:t xml:space="preserve"> </w:t>
      </w:r>
      <w:r w:rsidR="003A5A66" w:rsidRPr="0057524C">
        <w:rPr>
          <w:i/>
          <w:sz w:val="22"/>
          <w:lang w:val="en-US"/>
        </w:rPr>
        <w:t>J Neurophysiol</w:t>
      </w:r>
      <w:r w:rsidR="003A5A66" w:rsidRPr="0057524C">
        <w:rPr>
          <w:sz w:val="22"/>
          <w:lang w:val="en-US"/>
        </w:rPr>
        <w:t xml:space="preserve"> </w:t>
      </w:r>
      <w:r w:rsidR="003A5A66" w:rsidRPr="0057524C">
        <w:rPr>
          <w:b/>
          <w:sz w:val="22"/>
          <w:lang w:val="en-US"/>
        </w:rPr>
        <w:t>106</w:t>
      </w:r>
      <w:r w:rsidR="003A5A66" w:rsidRPr="0057524C">
        <w:rPr>
          <w:sz w:val="22"/>
          <w:lang w:val="en-US"/>
        </w:rPr>
        <w:t>:</w:t>
      </w:r>
      <w:r w:rsidR="00BA0912" w:rsidRPr="0057524C">
        <w:rPr>
          <w:sz w:val="22"/>
          <w:lang w:val="en-US"/>
        </w:rPr>
        <w:t xml:space="preserve"> </w:t>
      </w:r>
      <w:r w:rsidR="00353720" w:rsidRPr="0057524C">
        <w:rPr>
          <w:sz w:val="22"/>
          <w:lang w:val="en-US"/>
        </w:rPr>
        <w:t>1125-1165</w:t>
      </w:r>
      <w:r w:rsidR="006430B8" w:rsidRPr="0057524C">
        <w:rPr>
          <w:sz w:val="22"/>
          <w:lang w:val="en-US"/>
        </w:rPr>
        <w:t>, 2011</w:t>
      </w:r>
      <w:r w:rsidR="00353720" w:rsidRPr="0057524C">
        <w:rPr>
          <w:sz w:val="22"/>
          <w:lang w:val="en-US"/>
        </w:rPr>
        <w:t xml:space="preserve">; </w:t>
      </w:r>
      <w:r w:rsidR="00115BAA" w:rsidRPr="0057524C">
        <w:rPr>
          <w:sz w:val="22"/>
          <w:lang w:val="en-US"/>
        </w:rPr>
        <w:t>[</w:t>
      </w:r>
      <w:r w:rsidR="009B1325" w:rsidRPr="0057524C">
        <w:rPr>
          <w:sz w:val="22"/>
          <w:lang w:val="en-US"/>
        </w:rPr>
        <w:t>5</w:t>
      </w:r>
      <w:r w:rsidR="00115BAA" w:rsidRPr="0057524C">
        <w:rPr>
          <w:sz w:val="22"/>
          <w:lang w:val="en-US"/>
        </w:rPr>
        <w:t>] Auriat AM</w:t>
      </w:r>
      <w:r w:rsidR="00B66031" w:rsidRPr="0057524C">
        <w:rPr>
          <w:sz w:val="22"/>
          <w:lang w:val="en-US"/>
        </w:rPr>
        <w:t>,</w:t>
      </w:r>
      <w:r w:rsidR="00BA0912" w:rsidRPr="0057524C">
        <w:rPr>
          <w:sz w:val="22"/>
          <w:lang w:val="en-US"/>
        </w:rPr>
        <w:t xml:space="preserve"> </w:t>
      </w:r>
      <w:r w:rsidR="00BA0912" w:rsidRPr="0057524C">
        <w:rPr>
          <w:i/>
          <w:sz w:val="22"/>
          <w:lang w:val="en-US"/>
        </w:rPr>
        <w:t>et al</w:t>
      </w:r>
      <w:r w:rsidR="00BA0912" w:rsidRPr="0057524C">
        <w:rPr>
          <w:sz w:val="22"/>
          <w:lang w:val="en-US"/>
        </w:rPr>
        <w:t>.,</w:t>
      </w:r>
      <w:r w:rsidR="00B66031" w:rsidRPr="0057524C">
        <w:rPr>
          <w:sz w:val="22"/>
          <w:lang w:val="en-US"/>
        </w:rPr>
        <w:t xml:space="preserve"> </w:t>
      </w:r>
      <w:r w:rsidR="002976F4" w:rsidRPr="0057524C">
        <w:rPr>
          <w:i/>
          <w:sz w:val="22"/>
          <w:lang w:val="en-US"/>
        </w:rPr>
        <w:t>NeuroImage Clin</w:t>
      </w:r>
      <w:r w:rsidR="00BA652E" w:rsidRPr="0057524C">
        <w:rPr>
          <w:sz w:val="22"/>
          <w:lang w:val="en-US"/>
        </w:rPr>
        <w:t xml:space="preserve"> </w:t>
      </w:r>
      <w:r w:rsidR="00BA652E" w:rsidRPr="0057524C">
        <w:rPr>
          <w:b/>
          <w:sz w:val="22"/>
          <w:lang w:val="en-US"/>
        </w:rPr>
        <w:t>7</w:t>
      </w:r>
      <w:r w:rsidR="00115BAA" w:rsidRPr="0057524C">
        <w:rPr>
          <w:sz w:val="22"/>
          <w:lang w:val="en-US"/>
        </w:rPr>
        <w:t>:</w:t>
      </w:r>
      <w:r w:rsidR="00BA0912" w:rsidRPr="0057524C">
        <w:rPr>
          <w:sz w:val="22"/>
          <w:lang w:val="en-US"/>
        </w:rPr>
        <w:t xml:space="preserve"> </w:t>
      </w:r>
      <w:r w:rsidR="00BA652E" w:rsidRPr="0057524C">
        <w:rPr>
          <w:sz w:val="22"/>
          <w:lang w:val="en-US"/>
        </w:rPr>
        <w:t>771-781</w:t>
      </w:r>
      <w:r w:rsidR="002976F4" w:rsidRPr="0057524C">
        <w:rPr>
          <w:sz w:val="22"/>
          <w:lang w:val="en-US"/>
        </w:rPr>
        <w:t>,</w:t>
      </w:r>
      <w:r w:rsidR="008E7514" w:rsidRPr="0057524C">
        <w:rPr>
          <w:sz w:val="22"/>
          <w:lang w:val="en-US"/>
        </w:rPr>
        <w:t xml:space="preserve"> 2015</w:t>
      </w:r>
      <w:r w:rsidR="00954122" w:rsidRPr="0057524C">
        <w:rPr>
          <w:sz w:val="22"/>
          <w:lang w:val="en-US"/>
        </w:rPr>
        <w:t>.</w:t>
      </w:r>
    </w:p>
    <w:sectPr w:rsidR="00B66031" w:rsidRPr="0057524C" w:rsidSect="00743343">
      <w:headerReference w:type="default" r:id="rId8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75CA5" w14:textId="77777777" w:rsidR="002E4864" w:rsidRDefault="002E4864" w:rsidP="00743343">
      <w:r>
        <w:separator/>
      </w:r>
    </w:p>
  </w:endnote>
  <w:endnote w:type="continuationSeparator" w:id="0">
    <w:p w14:paraId="6E769703" w14:textId="77777777" w:rsidR="002E4864" w:rsidRDefault="002E4864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0B34E" w14:textId="77777777" w:rsidR="002E4864" w:rsidRDefault="002E4864" w:rsidP="00743343">
      <w:r>
        <w:separator/>
      </w:r>
    </w:p>
  </w:footnote>
  <w:footnote w:type="continuationSeparator" w:id="0">
    <w:p w14:paraId="1E747C4D" w14:textId="77777777" w:rsidR="002E4864" w:rsidRDefault="002E4864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A41CF" w14:textId="20EC7D09" w:rsidR="00743343" w:rsidRPr="000557A7" w:rsidRDefault="00CF1D04" w:rsidP="000557A7">
    <w:pPr>
      <w:pStyle w:val="Header"/>
      <w:jc w:val="right"/>
      <w:rPr>
        <w:rFonts w:asciiTheme="minorHAnsi" w:hAnsiTheme="minorHAnsi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C8F8E" wp14:editId="45C13A75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3175" t="3175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3EEE3" w14:textId="77777777"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4AB07BF1" w14:textId="77777777"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6F8FA198" w14:textId="77777777"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C8F8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422.25pt;margin-top:-29.7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" stroked="f">
              <v:textbox>
                <w:txbxContent>
                  <w:p w14:paraId="6FC3EEE3" w14:textId="77777777"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4AB07BF1" w14:textId="77777777"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6F8FA198" w14:textId="77777777"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3CC0F54" wp14:editId="2674F41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079BE"/>
    <w:rsid w:val="000144AE"/>
    <w:rsid w:val="0003597F"/>
    <w:rsid w:val="00042C87"/>
    <w:rsid w:val="000432ED"/>
    <w:rsid w:val="00051D64"/>
    <w:rsid w:val="000557A7"/>
    <w:rsid w:val="000647A7"/>
    <w:rsid w:val="00064CB6"/>
    <w:rsid w:val="00071DAD"/>
    <w:rsid w:val="000851ED"/>
    <w:rsid w:val="000858B5"/>
    <w:rsid w:val="000A430D"/>
    <w:rsid w:val="000B5FDB"/>
    <w:rsid w:val="000B6BB7"/>
    <w:rsid w:val="000D34A9"/>
    <w:rsid w:val="000D4088"/>
    <w:rsid w:val="000F6FDA"/>
    <w:rsid w:val="00102007"/>
    <w:rsid w:val="001119DF"/>
    <w:rsid w:val="00115BAA"/>
    <w:rsid w:val="00123341"/>
    <w:rsid w:val="001266E8"/>
    <w:rsid w:val="00131820"/>
    <w:rsid w:val="00137379"/>
    <w:rsid w:val="00144B49"/>
    <w:rsid w:val="00150B6D"/>
    <w:rsid w:val="00152BC3"/>
    <w:rsid w:val="00157889"/>
    <w:rsid w:val="00170E50"/>
    <w:rsid w:val="00175444"/>
    <w:rsid w:val="001912D4"/>
    <w:rsid w:val="00194868"/>
    <w:rsid w:val="001A7727"/>
    <w:rsid w:val="001B1026"/>
    <w:rsid w:val="001C3361"/>
    <w:rsid w:val="001C6685"/>
    <w:rsid w:val="001D1651"/>
    <w:rsid w:val="001D1B85"/>
    <w:rsid w:val="001D4875"/>
    <w:rsid w:val="001E04B7"/>
    <w:rsid w:val="001F007C"/>
    <w:rsid w:val="00200D83"/>
    <w:rsid w:val="002011E5"/>
    <w:rsid w:val="00204BB2"/>
    <w:rsid w:val="00213184"/>
    <w:rsid w:val="00235C85"/>
    <w:rsid w:val="00236F48"/>
    <w:rsid w:val="00240AA3"/>
    <w:rsid w:val="00242E1D"/>
    <w:rsid w:val="00243433"/>
    <w:rsid w:val="0024579E"/>
    <w:rsid w:val="00247148"/>
    <w:rsid w:val="00247D23"/>
    <w:rsid w:val="00252E94"/>
    <w:rsid w:val="00253F16"/>
    <w:rsid w:val="002579B8"/>
    <w:rsid w:val="0026085A"/>
    <w:rsid w:val="00262DE0"/>
    <w:rsid w:val="00263FB4"/>
    <w:rsid w:val="00264FBA"/>
    <w:rsid w:val="0026711E"/>
    <w:rsid w:val="002807FE"/>
    <w:rsid w:val="0028503C"/>
    <w:rsid w:val="00287BF7"/>
    <w:rsid w:val="002976F4"/>
    <w:rsid w:val="002B4A4D"/>
    <w:rsid w:val="002C3BE6"/>
    <w:rsid w:val="002C7480"/>
    <w:rsid w:val="002E4864"/>
    <w:rsid w:val="002E4F52"/>
    <w:rsid w:val="002E5535"/>
    <w:rsid w:val="002E6C75"/>
    <w:rsid w:val="002F1EA5"/>
    <w:rsid w:val="00303832"/>
    <w:rsid w:val="003212B5"/>
    <w:rsid w:val="00323398"/>
    <w:rsid w:val="003304CC"/>
    <w:rsid w:val="00331065"/>
    <w:rsid w:val="003513A8"/>
    <w:rsid w:val="00353720"/>
    <w:rsid w:val="0036118C"/>
    <w:rsid w:val="003613D6"/>
    <w:rsid w:val="00381473"/>
    <w:rsid w:val="00391D25"/>
    <w:rsid w:val="003A0B06"/>
    <w:rsid w:val="003A5A66"/>
    <w:rsid w:val="003B0DB9"/>
    <w:rsid w:val="003C2172"/>
    <w:rsid w:val="003D6775"/>
    <w:rsid w:val="003E1B22"/>
    <w:rsid w:val="003E278C"/>
    <w:rsid w:val="003E5376"/>
    <w:rsid w:val="003E5E67"/>
    <w:rsid w:val="004061C0"/>
    <w:rsid w:val="00436B03"/>
    <w:rsid w:val="00443711"/>
    <w:rsid w:val="00451604"/>
    <w:rsid w:val="00463BB7"/>
    <w:rsid w:val="004647A5"/>
    <w:rsid w:val="00470D30"/>
    <w:rsid w:val="00485B74"/>
    <w:rsid w:val="0049470E"/>
    <w:rsid w:val="00495305"/>
    <w:rsid w:val="00495481"/>
    <w:rsid w:val="004972B2"/>
    <w:rsid w:val="004A02DE"/>
    <w:rsid w:val="004B1507"/>
    <w:rsid w:val="004B6D89"/>
    <w:rsid w:val="004C55C3"/>
    <w:rsid w:val="004D0177"/>
    <w:rsid w:val="004D2C15"/>
    <w:rsid w:val="004D3FC7"/>
    <w:rsid w:val="004E345A"/>
    <w:rsid w:val="004F366E"/>
    <w:rsid w:val="00526EF7"/>
    <w:rsid w:val="00534842"/>
    <w:rsid w:val="005435AE"/>
    <w:rsid w:val="00560DD7"/>
    <w:rsid w:val="00565356"/>
    <w:rsid w:val="0057524C"/>
    <w:rsid w:val="00583365"/>
    <w:rsid w:val="00585A2F"/>
    <w:rsid w:val="005872A3"/>
    <w:rsid w:val="005873E7"/>
    <w:rsid w:val="005A0C8E"/>
    <w:rsid w:val="005A2DF8"/>
    <w:rsid w:val="005B3732"/>
    <w:rsid w:val="005B4583"/>
    <w:rsid w:val="005C1745"/>
    <w:rsid w:val="005D3424"/>
    <w:rsid w:val="005E1B59"/>
    <w:rsid w:val="005F11E2"/>
    <w:rsid w:val="00600E6E"/>
    <w:rsid w:val="0060134A"/>
    <w:rsid w:val="0060511E"/>
    <w:rsid w:val="00624412"/>
    <w:rsid w:val="00624BDA"/>
    <w:rsid w:val="00630FF8"/>
    <w:rsid w:val="006430B8"/>
    <w:rsid w:val="00661827"/>
    <w:rsid w:val="00661CC2"/>
    <w:rsid w:val="00662A82"/>
    <w:rsid w:val="0066722E"/>
    <w:rsid w:val="00676511"/>
    <w:rsid w:val="00676541"/>
    <w:rsid w:val="00693EF9"/>
    <w:rsid w:val="006A1802"/>
    <w:rsid w:val="006B43F1"/>
    <w:rsid w:val="006B4B2E"/>
    <w:rsid w:val="006B6C82"/>
    <w:rsid w:val="006D1501"/>
    <w:rsid w:val="006D6F00"/>
    <w:rsid w:val="00700096"/>
    <w:rsid w:val="007119F0"/>
    <w:rsid w:val="00727470"/>
    <w:rsid w:val="007432B0"/>
    <w:rsid w:val="00743343"/>
    <w:rsid w:val="007505EA"/>
    <w:rsid w:val="00756324"/>
    <w:rsid w:val="00770924"/>
    <w:rsid w:val="007A32B7"/>
    <w:rsid w:val="007A658D"/>
    <w:rsid w:val="007A713D"/>
    <w:rsid w:val="007A7B21"/>
    <w:rsid w:val="007B35CF"/>
    <w:rsid w:val="007B7191"/>
    <w:rsid w:val="007B7F88"/>
    <w:rsid w:val="007C1BB6"/>
    <w:rsid w:val="007C3FBE"/>
    <w:rsid w:val="007D53A8"/>
    <w:rsid w:val="007E346A"/>
    <w:rsid w:val="007E4F7F"/>
    <w:rsid w:val="007E5014"/>
    <w:rsid w:val="007F4909"/>
    <w:rsid w:val="00803061"/>
    <w:rsid w:val="00803529"/>
    <w:rsid w:val="00812A9F"/>
    <w:rsid w:val="0083132C"/>
    <w:rsid w:val="00832B02"/>
    <w:rsid w:val="008546FE"/>
    <w:rsid w:val="00871251"/>
    <w:rsid w:val="00874AF1"/>
    <w:rsid w:val="008756ED"/>
    <w:rsid w:val="0088659F"/>
    <w:rsid w:val="008943B2"/>
    <w:rsid w:val="008A0291"/>
    <w:rsid w:val="008B1F74"/>
    <w:rsid w:val="008B2A68"/>
    <w:rsid w:val="008C323D"/>
    <w:rsid w:val="008E270A"/>
    <w:rsid w:val="008E7514"/>
    <w:rsid w:val="009058BE"/>
    <w:rsid w:val="009110E7"/>
    <w:rsid w:val="0091178F"/>
    <w:rsid w:val="00913141"/>
    <w:rsid w:val="00920148"/>
    <w:rsid w:val="00921BD2"/>
    <w:rsid w:val="009243DC"/>
    <w:rsid w:val="00930326"/>
    <w:rsid w:val="009479DB"/>
    <w:rsid w:val="00954122"/>
    <w:rsid w:val="009618CF"/>
    <w:rsid w:val="00962B49"/>
    <w:rsid w:val="009643BE"/>
    <w:rsid w:val="00971BE3"/>
    <w:rsid w:val="009732EF"/>
    <w:rsid w:val="00974EE1"/>
    <w:rsid w:val="00981E11"/>
    <w:rsid w:val="009823A7"/>
    <w:rsid w:val="00984E93"/>
    <w:rsid w:val="00985A24"/>
    <w:rsid w:val="00994EA2"/>
    <w:rsid w:val="009970D2"/>
    <w:rsid w:val="009A1586"/>
    <w:rsid w:val="009A678B"/>
    <w:rsid w:val="009A6C4B"/>
    <w:rsid w:val="009B1325"/>
    <w:rsid w:val="009B2417"/>
    <w:rsid w:val="009B269A"/>
    <w:rsid w:val="009B7F0D"/>
    <w:rsid w:val="009C1AC3"/>
    <w:rsid w:val="009C3860"/>
    <w:rsid w:val="009C43CE"/>
    <w:rsid w:val="009D174C"/>
    <w:rsid w:val="009D27FF"/>
    <w:rsid w:val="009E302E"/>
    <w:rsid w:val="009F09B0"/>
    <w:rsid w:val="009F2A95"/>
    <w:rsid w:val="00A127AC"/>
    <w:rsid w:val="00A13530"/>
    <w:rsid w:val="00A1445A"/>
    <w:rsid w:val="00A25F3B"/>
    <w:rsid w:val="00A27E53"/>
    <w:rsid w:val="00A32E87"/>
    <w:rsid w:val="00A45187"/>
    <w:rsid w:val="00A62418"/>
    <w:rsid w:val="00A63C05"/>
    <w:rsid w:val="00A64D2A"/>
    <w:rsid w:val="00A7282E"/>
    <w:rsid w:val="00A75CA0"/>
    <w:rsid w:val="00A7731B"/>
    <w:rsid w:val="00A83783"/>
    <w:rsid w:val="00AA5D2C"/>
    <w:rsid w:val="00AB4F93"/>
    <w:rsid w:val="00AC3172"/>
    <w:rsid w:val="00AD5A4B"/>
    <w:rsid w:val="00AE40F9"/>
    <w:rsid w:val="00AE4E2B"/>
    <w:rsid w:val="00AF5915"/>
    <w:rsid w:val="00B04BD1"/>
    <w:rsid w:val="00B145D5"/>
    <w:rsid w:val="00B22423"/>
    <w:rsid w:val="00B239B7"/>
    <w:rsid w:val="00B265AE"/>
    <w:rsid w:val="00B31B88"/>
    <w:rsid w:val="00B33F5F"/>
    <w:rsid w:val="00B50A0C"/>
    <w:rsid w:val="00B52F14"/>
    <w:rsid w:val="00B64A0D"/>
    <w:rsid w:val="00B66031"/>
    <w:rsid w:val="00B70F67"/>
    <w:rsid w:val="00B768C4"/>
    <w:rsid w:val="00B81A5F"/>
    <w:rsid w:val="00B85F09"/>
    <w:rsid w:val="00BA0912"/>
    <w:rsid w:val="00BA0B44"/>
    <w:rsid w:val="00BA4543"/>
    <w:rsid w:val="00BA652E"/>
    <w:rsid w:val="00BB3385"/>
    <w:rsid w:val="00BB46AC"/>
    <w:rsid w:val="00BC6DC7"/>
    <w:rsid w:val="00BF5F63"/>
    <w:rsid w:val="00BF6A10"/>
    <w:rsid w:val="00C00F8D"/>
    <w:rsid w:val="00C025CC"/>
    <w:rsid w:val="00C13494"/>
    <w:rsid w:val="00C171DE"/>
    <w:rsid w:val="00C22999"/>
    <w:rsid w:val="00C519B9"/>
    <w:rsid w:val="00C727F2"/>
    <w:rsid w:val="00C82022"/>
    <w:rsid w:val="00C85417"/>
    <w:rsid w:val="00C935E0"/>
    <w:rsid w:val="00CA0249"/>
    <w:rsid w:val="00CC00F4"/>
    <w:rsid w:val="00CC2D72"/>
    <w:rsid w:val="00CC5169"/>
    <w:rsid w:val="00CD545C"/>
    <w:rsid w:val="00CE1803"/>
    <w:rsid w:val="00CE3B0D"/>
    <w:rsid w:val="00CF1D04"/>
    <w:rsid w:val="00D05876"/>
    <w:rsid w:val="00D1595E"/>
    <w:rsid w:val="00D32B8D"/>
    <w:rsid w:val="00D34D06"/>
    <w:rsid w:val="00D43DB8"/>
    <w:rsid w:val="00D4621A"/>
    <w:rsid w:val="00D465F3"/>
    <w:rsid w:val="00D516D5"/>
    <w:rsid w:val="00D57B18"/>
    <w:rsid w:val="00D620EC"/>
    <w:rsid w:val="00D86C02"/>
    <w:rsid w:val="00D913C2"/>
    <w:rsid w:val="00DA5890"/>
    <w:rsid w:val="00DA768B"/>
    <w:rsid w:val="00DB59D0"/>
    <w:rsid w:val="00DD1569"/>
    <w:rsid w:val="00DD5D20"/>
    <w:rsid w:val="00DE0165"/>
    <w:rsid w:val="00E24564"/>
    <w:rsid w:val="00E25A03"/>
    <w:rsid w:val="00E36041"/>
    <w:rsid w:val="00E50AB8"/>
    <w:rsid w:val="00E54607"/>
    <w:rsid w:val="00E5649B"/>
    <w:rsid w:val="00E5664E"/>
    <w:rsid w:val="00E80818"/>
    <w:rsid w:val="00E84FAB"/>
    <w:rsid w:val="00EA6C72"/>
    <w:rsid w:val="00EB68D7"/>
    <w:rsid w:val="00EC452C"/>
    <w:rsid w:val="00ED3BFB"/>
    <w:rsid w:val="00EE23B8"/>
    <w:rsid w:val="00EE577C"/>
    <w:rsid w:val="00F00AB7"/>
    <w:rsid w:val="00F020A8"/>
    <w:rsid w:val="00F15F38"/>
    <w:rsid w:val="00F204C5"/>
    <w:rsid w:val="00F2747E"/>
    <w:rsid w:val="00F2781F"/>
    <w:rsid w:val="00F37443"/>
    <w:rsid w:val="00F52674"/>
    <w:rsid w:val="00F87186"/>
    <w:rsid w:val="00FA2C3E"/>
    <w:rsid w:val="00FA4F3E"/>
    <w:rsid w:val="00FB18F0"/>
    <w:rsid w:val="00FB6EFE"/>
    <w:rsid w:val="00FD4F19"/>
    <w:rsid w:val="00FD4F23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73E61"/>
  <w15:docId w15:val="{67CA9A9A-FF1B-4E66-9491-0AA467B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20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  <w:jc w:val="both"/>
    </w:pPr>
    <w:rPr>
      <w:szCs w:val="22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3343"/>
    <w:pPr>
      <w:tabs>
        <w:tab w:val="center" w:pos="4252"/>
        <w:tab w:val="right" w:pos="8504"/>
      </w:tabs>
      <w:jc w:val="both"/>
    </w:pPr>
    <w:rPr>
      <w:szCs w:val="22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0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47A7"/>
    <w:pPr>
      <w:jc w:val="both"/>
    </w:pPr>
    <w:rPr>
      <w:lang w:val="pt-BR"/>
    </w:rPr>
  </w:style>
  <w:style w:type="table" w:styleId="TableGrid">
    <w:name w:val="Table Grid"/>
    <w:basedOn w:val="TableNormal"/>
    <w:uiPriority w:val="59"/>
    <w:rsid w:val="0047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rtrix.org)" TargetMode="Externa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Richard Frayne</cp:lastModifiedBy>
  <cp:revision>2</cp:revision>
  <dcterms:created xsi:type="dcterms:W3CDTF">2017-03-03T15:40:00Z</dcterms:created>
  <dcterms:modified xsi:type="dcterms:W3CDTF">2017-03-03T15:40:00Z</dcterms:modified>
</cp:coreProperties>
</file>