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59C5D" w14:textId="77777777" w:rsidR="00F3730F" w:rsidRDefault="00F3730F" w:rsidP="007E3A31">
      <w:pPr>
        <w:jc w:val="center"/>
        <w:rPr>
          <w:rFonts w:ascii="Times" w:hAnsi="Times"/>
          <w:sz w:val="32"/>
          <w:lang w:val="en-US"/>
        </w:rPr>
      </w:pPr>
    </w:p>
    <w:p w14:paraId="510C9A90" w14:textId="77777777" w:rsidR="00DA2973" w:rsidRPr="007D710E" w:rsidRDefault="003342E2" w:rsidP="007E3A31">
      <w:pPr>
        <w:jc w:val="center"/>
        <w:rPr>
          <w:b/>
          <w:sz w:val="28"/>
          <w:lang w:val="en-US"/>
        </w:rPr>
      </w:pPr>
      <w:r w:rsidRPr="007D710E">
        <w:rPr>
          <w:b/>
          <w:sz w:val="28"/>
          <w:lang w:val="en-US"/>
        </w:rPr>
        <w:t xml:space="preserve">White matter tracts integrity in children </w:t>
      </w:r>
      <w:r w:rsidR="00F75403" w:rsidRPr="007D710E">
        <w:rPr>
          <w:b/>
          <w:sz w:val="28"/>
          <w:lang w:val="en-US"/>
        </w:rPr>
        <w:t>with</w:t>
      </w:r>
      <w:r w:rsidRPr="007D710E">
        <w:rPr>
          <w:b/>
          <w:sz w:val="28"/>
          <w:lang w:val="en-US"/>
        </w:rPr>
        <w:t xml:space="preserve"> </w:t>
      </w:r>
      <w:r w:rsidR="00F75403" w:rsidRPr="007D710E">
        <w:rPr>
          <w:b/>
          <w:sz w:val="28"/>
          <w:lang w:val="en-US"/>
        </w:rPr>
        <w:t>focal cortical dysplasia</w:t>
      </w:r>
      <w:r w:rsidR="00DA2973" w:rsidRPr="007D710E">
        <w:rPr>
          <w:b/>
          <w:sz w:val="28"/>
          <w:lang w:val="en-US"/>
        </w:rPr>
        <w:t xml:space="preserve"> </w:t>
      </w:r>
    </w:p>
    <w:p w14:paraId="6B926D09" w14:textId="4DE506D4" w:rsidR="000E4E95" w:rsidRPr="00EE6024" w:rsidRDefault="00EE6024" w:rsidP="00EE6024">
      <w:pPr>
        <w:tabs>
          <w:tab w:val="left" w:pos="2747"/>
        </w:tabs>
        <w:rPr>
          <w:sz w:val="22"/>
          <w:lang w:val="en-US"/>
        </w:rPr>
      </w:pPr>
      <w:r>
        <w:rPr>
          <w:lang w:val="en-US"/>
        </w:rPr>
        <w:tab/>
      </w:r>
    </w:p>
    <w:p w14:paraId="7426FBD6" w14:textId="488439B8" w:rsidR="0043623A" w:rsidRPr="00B76EE8" w:rsidRDefault="0043623A" w:rsidP="00B76EE8">
      <w:pPr>
        <w:jc w:val="center"/>
      </w:pPr>
      <w:r w:rsidRPr="007D710E">
        <w:rPr>
          <w:szCs w:val="24"/>
        </w:rPr>
        <w:t xml:space="preserve">Sabrina </w:t>
      </w:r>
      <w:proofErr w:type="spellStart"/>
      <w:r w:rsidRPr="007D710E">
        <w:rPr>
          <w:szCs w:val="24"/>
        </w:rPr>
        <w:t>Vechini</w:t>
      </w:r>
      <w:proofErr w:type="spellEnd"/>
      <w:r w:rsidRPr="007D710E">
        <w:rPr>
          <w:szCs w:val="24"/>
        </w:rPr>
        <w:t xml:space="preserve"> Gouvêa</w:t>
      </w:r>
      <w:r w:rsidRPr="007D710E">
        <w:rPr>
          <w:szCs w:val="24"/>
          <w:vertAlign w:val="superscript"/>
        </w:rPr>
        <w:t>1</w:t>
      </w:r>
      <w:r w:rsidRPr="007D710E">
        <w:rPr>
          <w:szCs w:val="24"/>
        </w:rPr>
        <w:t>, Enrico Ghizoni</w:t>
      </w:r>
      <w:r w:rsidRPr="007D710E">
        <w:rPr>
          <w:szCs w:val="24"/>
          <w:vertAlign w:val="superscript"/>
        </w:rPr>
        <w:t>2</w:t>
      </w:r>
      <w:r w:rsidRPr="007D710E">
        <w:rPr>
          <w:szCs w:val="24"/>
        </w:rPr>
        <w:t xml:space="preserve">, </w:t>
      </w:r>
      <w:proofErr w:type="spellStart"/>
      <w:r w:rsidR="00F75403" w:rsidRPr="007D710E">
        <w:rPr>
          <w:szCs w:val="24"/>
        </w:rPr>
        <w:t>Brunno</w:t>
      </w:r>
      <w:proofErr w:type="spellEnd"/>
      <w:r w:rsidR="00F75403" w:rsidRPr="007D710E">
        <w:rPr>
          <w:szCs w:val="24"/>
        </w:rPr>
        <w:t xml:space="preserve"> Machado de Campos</w:t>
      </w:r>
      <w:r w:rsidR="00AE19B6" w:rsidRPr="007D710E">
        <w:rPr>
          <w:szCs w:val="24"/>
          <w:vertAlign w:val="superscript"/>
        </w:rPr>
        <w:t>2</w:t>
      </w:r>
      <w:r w:rsidR="00F75403" w:rsidRPr="007D710E">
        <w:rPr>
          <w:szCs w:val="24"/>
        </w:rPr>
        <w:t xml:space="preserve">, </w:t>
      </w:r>
      <w:r w:rsidR="003F7089" w:rsidRPr="007D710E">
        <w:rPr>
          <w:szCs w:val="24"/>
        </w:rPr>
        <w:t>Simone Appenzeller</w:t>
      </w:r>
      <w:r w:rsidR="00EC0619">
        <w:rPr>
          <w:szCs w:val="24"/>
          <w:vertAlign w:val="superscript"/>
        </w:rPr>
        <w:t>3</w:t>
      </w:r>
      <w:r w:rsidR="003F7089" w:rsidRPr="007D710E">
        <w:rPr>
          <w:szCs w:val="24"/>
        </w:rPr>
        <w:t>, Fernando Cendes</w:t>
      </w:r>
      <w:r w:rsidR="00372B8F" w:rsidRPr="007D710E">
        <w:rPr>
          <w:szCs w:val="24"/>
          <w:vertAlign w:val="superscript"/>
        </w:rPr>
        <w:t>2</w:t>
      </w:r>
      <w:r w:rsidR="003F7089" w:rsidRPr="007D710E">
        <w:rPr>
          <w:szCs w:val="24"/>
        </w:rPr>
        <w:t>, Ana Carolina Coan</w:t>
      </w:r>
      <w:r w:rsidR="00372B8F" w:rsidRPr="007D710E">
        <w:rPr>
          <w:szCs w:val="24"/>
          <w:vertAlign w:val="superscript"/>
        </w:rPr>
        <w:t>4</w:t>
      </w:r>
    </w:p>
    <w:p w14:paraId="1698370F" w14:textId="61961F7D" w:rsidR="0043623A" w:rsidRPr="007D710E" w:rsidRDefault="0043623A" w:rsidP="007D710E">
      <w:pPr>
        <w:jc w:val="left"/>
        <w:rPr>
          <w:sz w:val="20"/>
          <w:szCs w:val="20"/>
          <w:lang w:val="en-US"/>
        </w:rPr>
      </w:pPr>
      <w:r w:rsidRPr="007D710E">
        <w:rPr>
          <w:sz w:val="20"/>
          <w:szCs w:val="20"/>
          <w:vertAlign w:val="superscript"/>
          <w:lang w:val="en-US"/>
        </w:rPr>
        <w:t>1</w:t>
      </w:r>
      <w:r w:rsidRPr="007D710E">
        <w:rPr>
          <w:sz w:val="20"/>
          <w:szCs w:val="20"/>
          <w:lang w:val="en-US"/>
        </w:rPr>
        <w:t xml:space="preserve"> </w:t>
      </w:r>
      <w:r w:rsidR="00AE19B6" w:rsidRPr="007D710E">
        <w:rPr>
          <w:sz w:val="20"/>
          <w:szCs w:val="20"/>
          <w:lang w:val="en-US"/>
        </w:rPr>
        <w:t xml:space="preserve">Graduation program, </w:t>
      </w:r>
      <w:r w:rsidR="00961EF5" w:rsidRPr="007D710E">
        <w:rPr>
          <w:sz w:val="20"/>
          <w:szCs w:val="20"/>
          <w:lang w:val="en-US"/>
        </w:rPr>
        <w:t>School of Medical Sciences</w:t>
      </w:r>
      <w:r w:rsidRPr="007D710E">
        <w:rPr>
          <w:sz w:val="20"/>
          <w:szCs w:val="20"/>
          <w:lang w:val="en-US"/>
        </w:rPr>
        <w:t xml:space="preserve"> </w:t>
      </w:r>
      <w:r w:rsidR="00AE19B6" w:rsidRPr="007D710E">
        <w:rPr>
          <w:sz w:val="20"/>
          <w:szCs w:val="20"/>
          <w:lang w:val="en-US"/>
        </w:rPr>
        <w:t xml:space="preserve"> - </w:t>
      </w:r>
      <w:proofErr w:type="spellStart"/>
      <w:r w:rsidRPr="007D710E">
        <w:rPr>
          <w:sz w:val="20"/>
          <w:szCs w:val="20"/>
          <w:lang w:val="en-US"/>
        </w:rPr>
        <w:t>Unicamp</w:t>
      </w:r>
      <w:proofErr w:type="spellEnd"/>
      <w:r w:rsidR="00AE19B6" w:rsidRPr="007D710E">
        <w:rPr>
          <w:sz w:val="20"/>
          <w:szCs w:val="20"/>
          <w:lang w:val="en-US"/>
        </w:rPr>
        <w:t>, Campinas-SP, Brazil</w:t>
      </w:r>
    </w:p>
    <w:p w14:paraId="6884E6BB" w14:textId="7F969574" w:rsidR="0043623A" w:rsidRPr="007D710E" w:rsidRDefault="0043623A" w:rsidP="007D710E">
      <w:pPr>
        <w:jc w:val="left"/>
        <w:rPr>
          <w:sz w:val="20"/>
          <w:szCs w:val="20"/>
          <w:lang w:val="en-US"/>
        </w:rPr>
      </w:pPr>
      <w:r w:rsidRPr="007D710E">
        <w:rPr>
          <w:sz w:val="20"/>
          <w:szCs w:val="20"/>
          <w:vertAlign w:val="superscript"/>
          <w:lang w:val="en-US"/>
        </w:rPr>
        <w:t>2</w:t>
      </w:r>
      <w:r w:rsidRPr="007D710E">
        <w:rPr>
          <w:sz w:val="20"/>
          <w:szCs w:val="20"/>
          <w:lang w:val="en-US"/>
        </w:rPr>
        <w:t xml:space="preserve"> </w:t>
      </w:r>
      <w:r w:rsidR="00AE19B6" w:rsidRPr="007D710E">
        <w:rPr>
          <w:sz w:val="20"/>
          <w:szCs w:val="20"/>
          <w:lang w:val="en-US"/>
        </w:rPr>
        <w:t xml:space="preserve">Neuroimaging Laboratory, Department of Neurology, </w:t>
      </w:r>
      <w:r w:rsidR="00961EF5" w:rsidRPr="007D710E">
        <w:rPr>
          <w:sz w:val="20"/>
          <w:szCs w:val="20"/>
          <w:lang w:val="en-US"/>
        </w:rPr>
        <w:t>School of Medical Sciences</w:t>
      </w:r>
      <w:r w:rsidR="00F477E0" w:rsidRPr="007D710E">
        <w:rPr>
          <w:sz w:val="20"/>
          <w:szCs w:val="20"/>
          <w:lang w:val="en-US"/>
        </w:rPr>
        <w:t>,</w:t>
      </w:r>
      <w:r w:rsidR="00AE19B6" w:rsidRPr="007D710E">
        <w:rPr>
          <w:sz w:val="20"/>
          <w:szCs w:val="20"/>
          <w:lang w:val="en-US"/>
        </w:rPr>
        <w:t xml:space="preserve"> </w:t>
      </w:r>
      <w:proofErr w:type="spellStart"/>
      <w:r w:rsidR="00AE19B6" w:rsidRPr="007D710E">
        <w:rPr>
          <w:sz w:val="20"/>
          <w:szCs w:val="20"/>
          <w:lang w:val="en-US"/>
        </w:rPr>
        <w:t>Unicamp</w:t>
      </w:r>
      <w:proofErr w:type="spellEnd"/>
      <w:r w:rsidR="00AE19B6" w:rsidRPr="007D710E">
        <w:rPr>
          <w:sz w:val="20"/>
          <w:szCs w:val="20"/>
          <w:lang w:val="en-US"/>
        </w:rPr>
        <w:t>, Campinas-SP, Brazil</w:t>
      </w:r>
    </w:p>
    <w:p w14:paraId="4D947B2F" w14:textId="2E91A71D" w:rsidR="00372B8F" w:rsidRPr="007D710E" w:rsidRDefault="00372B8F" w:rsidP="007D710E">
      <w:pPr>
        <w:jc w:val="left"/>
        <w:rPr>
          <w:sz w:val="20"/>
          <w:szCs w:val="20"/>
          <w:lang w:val="en-US"/>
        </w:rPr>
      </w:pPr>
      <w:r w:rsidRPr="007D710E">
        <w:rPr>
          <w:sz w:val="20"/>
          <w:szCs w:val="20"/>
          <w:vertAlign w:val="superscript"/>
          <w:lang w:val="en-US"/>
        </w:rPr>
        <w:t>3</w:t>
      </w:r>
      <w:r w:rsidRPr="007D710E">
        <w:rPr>
          <w:sz w:val="20"/>
          <w:szCs w:val="20"/>
          <w:lang w:val="en-US"/>
        </w:rPr>
        <w:t xml:space="preserve"> Department of </w:t>
      </w:r>
      <w:r w:rsidR="00961EF5" w:rsidRPr="007D710E">
        <w:rPr>
          <w:sz w:val="20"/>
          <w:szCs w:val="20"/>
          <w:lang w:val="en-US"/>
        </w:rPr>
        <w:t>Rheumatology</w:t>
      </w:r>
      <w:r w:rsidRPr="007D710E">
        <w:rPr>
          <w:sz w:val="20"/>
          <w:szCs w:val="20"/>
          <w:lang w:val="en-US"/>
        </w:rPr>
        <w:t xml:space="preserve">, </w:t>
      </w:r>
      <w:r w:rsidR="00961EF5" w:rsidRPr="007D710E">
        <w:rPr>
          <w:sz w:val="20"/>
          <w:szCs w:val="20"/>
          <w:lang w:val="en-US"/>
        </w:rPr>
        <w:t>School of Medical Sciences</w:t>
      </w:r>
      <w:r w:rsidR="00F477E0" w:rsidRPr="007D710E">
        <w:rPr>
          <w:sz w:val="20"/>
          <w:szCs w:val="20"/>
          <w:lang w:val="en-US"/>
        </w:rPr>
        <w:t>,</w:t>
      </w:r>
      <w:r w:rsidRPr="007D710E">
        <w:rPr>
          <w:sz w:val="20"/>
          <w:szCs w:val="20"/>
          <w:lang w:val="en-US"/>
        </w:rPr>
        <w:t xml:space="preserve"> </w:t>
      </w:r>
      <w:proofErr w:type="spellStart"/>
      <w:r w:rsidRPr="007D710E">
        <w:rPr>
          <w:sz w:val="20"/>
          <w:szCs w:val="20"/>
          <w:lang w:val="en-US"/>
        </w:rPr>
        <w:t>Unicamp</w:t>
      </w:r>
      <w:proofErr w:type="spellEnd"/>
      <w:r w:rsidRPr="007D710E">
        <w:rPr>
          <w:sz w:val="20"/>
          <w:szCs w:val="20"/>
          <w:lang w:val="en-US"/>
        </w:rPr>
        <w:t>, Campinas-SP, Brazil</w:t>
      </w:r>
    </w:p>
    <w:p w14:paraId="54469F74" w14:textId="6320A11F" w:rsidR="002265D8" w:rsidRPr="007D710E" w:rsidRDefault="002265D8" w:rsidP="007D710E">
      <w:pPr>
        <w:jc w:val="left"/>
        <w:rPr>
          <w:sz w:val="20"/>
          <w:szCs w:val="20"/>
          <w:lang w:val="en-US"/>
        </w:rPr>
      </w:pPr>
      <w:r w:rsidRPr="007D710E">
        <w:rPr>
          <w:sz w:val="20"/>
          <w:szCs w:val="20"/>
          <w:vertAlign w:val="superscript"/>
          <w:lang w:val="en-US"/>
        </w:rPr>
        <w:t>4</w:t>
      </w:r>
      <w:r w:rsidRPr="007D710E">
        <w:rPr>
          <w:sz w:val="20"/>
          <w:szCs w:val="20"/>
          <w:lang w:val="en-US"/>
        </w:rPr>
        <w:t xml:space="preserve"> Child Neurology Service, Department of Neurology, </w:t>
      </w:r>
      <w:r w:rsidR="00961EF5" w:rsidRPr="007D710E">
        <w:rPr>
          <w:sz w:val="20"/>
          <w:szCs w:val="20"/>
          <w:lang w:val="en-US"/>
        </w:rPr>
        <w:t>School of Medical Sciences</w:t>
      </w:r>
      <w:r w:rsidR="00F477E0" w:rsidRPr="007D710E">
        <w:rPr>
          <w:sz w:val="20"/>
          <w:szCs w:val="20"/>
          <w:lang w:val="en-US"/>
        </w:rPr>
        <w:t>,</w:t>
      </w:r>
      <w:r w:rsidRPr="007D710E">
        <w:rPr>
          <w:sz w:val="20"/>
          <w:szCs w:val="20"/>
          <w:lang w:val="en-US"/>
        </w:rPr>
        <w:t xml:space="preserve"> </w:t>
      </w:r>
      <w:proofErr w:type="spellStart"/>
      <w:r w:rsidRPr="007D710E">
        <w:rPr>
          <w:sz w:val="20"/>
          <w:szCs w:val="20"/>
          <w:lang w:val="en-US"/>
        </w:rPr>
        <w:t>Unicamp</w:t>
      </w:r>
      <w:proofErr w:type="spellEnd"/>
      <w:r w:rsidRPr="007D710E">
        <w:rPr>
          <w:sz w:val="20"/>
          <w:szCs w:val="20"/>
          <w:lang w:val="en-US"/>
        </w:rPr>
        <w:t>, Campinas-SP, Brazil</w:t>
      </w:r>
    </w:p>
    <w:p w14:paraId="606424C3" w14:textId="77777777" w:rsidR="0043623A" w:rsidRPr="00EE6024" w:rsidRDefault="0043623A" w:rsidP="00B76EE8">
      <w:pPr>
        <w:rPr>
          <w:sz w:val="22"/>
          <w:lang w:val="en-US"/>
        </w:rPr>
      </w:pPr>
    </w:p>
    <w:p w14:paraId="702BC466" w14:textId="5296E7C2" w:rsidR="00D43AA8" w:rsidRDefault="007D710E" w:rsidP="00D43A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D43AA8">
        <w:rPr>
          <w:b/>
          <w:szCs w:val="24"/>
          <w:lang w:val="en-US"/>
        </w:rPr>
        <w:t>Introduction</w:t>
      </w:r>
      <w:r w:rsidRPr="00D43AA8">
        <w:rPr>
          <w:szCs w:val="24"/>
          <w:lang w:val="en-US"/>
        </w:rPr>
        <w:t>:</w:t>
      </w:r>
      <w:r w:rsidR="00F3730F" w:rsidRPr="00D43AA8">
        <w:rPr>
          <w:szCs w:val="24"/>
          <w:lang w:val="en-US"/>
        </w:rPr>
        <w:t xml:space="preserve"> Studies of adults with epilepsy and f</w:t>
      </w:r>
      <w:r w:rsidR="000E4E95" w:rsidRPr="00D43AA8">
        <w:rPr>
          <w:szCs w:val="24"/>
          <w:lang w:val="en-US"/>
        </w:rPr>
        <w:t xml:space="preserve">ocal cortical </w:t>
      </w:r>
      <w:proofErr w:type="spellStart"/>
      <w:r w:rsidR="000E4E95" w:rsidRPr="00D43AA8">
        <w:rPr>
          <w:szCs w:val="24"/>
          <w:lang w:val="en-US"/>
        </w:rPr>
        <w:t>dysplasias</w:t>
      </w:r>
      <w:proofErr w:type="spellEnd"/>
      <w:r w:rsidR="00173E3F" w:rsidRPr="00D43AA8">
        <w:rPr>
          <w:szCs w:val="24"/>
          <w:lang w:val="en-US"/>
        </w:rPr>
        <w:t xml:space="preserve"> (FCD</w:t>
      </w:r>
      <w:r w:rsidR="00F3730F" w:rsidRPr="00D43AA8">
        <w:rPr>
          <w:szCs w:val="24"/>
          <w:lang w:val="en-US"/>
        </w:rPr>
        <w:t>s</w:t>
      </w:r>
      <w:r w:rsidR="00173E3F" w:rsidRPr="00D43AA8">
        <w:rPr>
          <w:szCs w:val="24"/>
          <w:lang w:val="en-US"/>
        </w:rPr>
        <w:t>)</w:t>
      </w:r>
      <w:r w:rsidR="000E4E95" w:rsidRPr="00D43AA8">
        <w:rPr>
          <w:szCs w:val="24"/>
          <w:lang w:val="en-US"/>
        </w:rPr>
        <w:t xml:space="preserve"> </w:t>
      </w:r>
      <w:r w:rsidR="00F3730F" w:rsidRPr="00D43AA8">
        <w:rPr>
          <w:szCs w:val="24"/>
          <w:lang w:val="en-US"/>
        </w:rPr>
        <w:t xml:space="preserve">show </w:t>
      </w:r>
      <w:r w:rsidR="003974E7" w:rsidRPr="00D43AA8">
        <w:rPr>
          <w:szCs w:val="24"/>
          <w:lang w:val="en-US"/>
        </w:rPr>
        <w:t>abnormalities of</w:t>
      </w:r>
      <w:r w:rsidR="009169D0" w:rsidRPr="00D43AA8">
        <w:rPr>
          <w:szCs w:val="24"/>
          <w:lang w:val="en-US"/>
        </w:rPr>
        <w:t xml:space="preserve"> </w:t>
      </w:r>
      <w:r w:rsidR="00F75403" w:rsidRPr="00D43AA8">
        <w:rPr>
          <w:szCs w:val="24"/>
          <w:lang w:val="en-US"/>
        </w:rPr>
        <w:t>white</w:t>
      </w:r>
      <w:r w:rsidR="009169D0" w:rsidRPr="00D43AA8">
        <w:rPr>
          <w:szCs w:val="24"/>
          <w:lang w:val="en-US"/>
        </w:rPr>
        <w:t xml:space="preserve"> matter tracts</w:t>
      </w:r>
      <w:r w:rsidR="00F3730F" w:rsidRPr="00D43AA8">
        <w:rPr>
          <w:szCs w:val="24"/>
          <w:lang w:val="en-US"/>
        </w:rPr>
        <w:t xml:space="preserve">; </w:t>
      </w:r>
      <w:r w:rsidR="00D43AA8" w:rsidRPr="00D43AA8">
        <w:rPr>
          <w:szCs w:val="24"/>
          <w:lang w:val="en-US"/>
        </w:rPr>
        <w:t>however,</w:t>
      </w:r>
      <w:r w:rsidR="00F3730F" w:rsidRPr="00D43AA8">
        <w:rPr>
          <w:szCs w:val="24"/>
          <w:lang w:val="en-US"/>
        </w:rPr>
        <w:t xml:space="preserve"> </w:t>
      </w:r>
      <w:r w:rsidR="00907557" w:rsidRPr="00D43AA8">
        <w:rPr>
          <w:szCs w:val="24"/>
          <w:lang w:val="en-US"/>
        </w:rPr>
        <w:t>the pattern of white matter tracts abnormalities in children with epilepsy and FCD remain</w:t>
      </w:r>
      <w:r w:rsidR="00365179" w:rsidRPr="00D43AA8">
        <w:rPr>
          <w:szCs w:val="24"/>
          <w:lang w:val="en-US"/>
        </w:rPr>
        <w:t>s</w:t>
      </w:r>
      <w:r w:rsidR="00907557" w:rsidRPr="00D43AA8">
        <w:rPr>
          <w:szCs w:val="24"/>
          <w:lang w:val="en-US"/>
        </w:rPr>
        <w:t xml:space="preserve"> </w:t>
      </w:r>
      <w:proofErr w:type="gramStart"/>
      <w:r w:rsidR="00907557" w:rsidRPr="00D43AA8">
        <w:rPr>
          <w:szCs w:val="24"/>
          <w:lang w:val="en-US"/>
        </w:rPr>
        <w:t>unknown</w:t>
      </w:r>
      <w:r w:rsidR="002B4B21">
        <w:rPr>
          <w:szCs w:val="24"/>
          <w:lang w:val="en-US"/>
        </w:rPr>
        <w:t>[</w:t>
      </w:r>
      <w:proofErr w:type="gramEnd"/>
      <w:r w:rsidR="002B4B21">
        <w:rPr>
          <w:szCs w:val="24"/>
          <w:lang w:val="en-US"/>
        </w:rPr>
        <w:t>1]</w:t>
      </w:r>
      <w:r w:rsidR="00907557" w:rsidRPr="00D43AA8">
        <w:rPr>
          <w:szCs w:val="24"/>
          <w:lang w:val="en-US"/>
        </w:rPr>
        <w:t xml:space="preserve">. </w:t>
      </w:r>
      <w:r w:rsidR="00F8214B" w:rsidRPr="00D43AA8">
        <w:rPr>
          <w:szCs w:val="24"/>
          <w:lang w:val="en-US"/>
        </w:rPr>
        <w:t>We</w:t>
      </w:r>
      <w:r w:rsidR="00F3730F" w:rsidRPr="00D43AA8">
        <w:rPr>
          <w:szCs w:val="24"/>
          <w:lang w:val="en-US"/>
        </w:rPr>
        <w:t xml:space="preserve"> aim</w:t>
      </w:r>
      <w:r w:rsidR="003974E7" w:rsidRPr="00D43AA8">
        <w:rPr>
          <w:szCs w:val="24"/>
          <w:lang w:val="en-US"/>
        </w:rPr>
        <w:t>ed</w:t>
      </w:r>
      <w:r w:rsidR="00F3730F" w:rsidRPr="00D43AA8">
        <w:rPr>
          <w:szCs w:val="24"/>
          <w:lang w:val="en-US"/>
        </w:rPr>
        <w:t xml:space="preserve"> </w:t>
      </w:r>
      <w:r w:rsidR="003974E7" w:rsidRPr="00D43AA8">
        <w:rPr>
          <w:szCs w:val="24"/>
          <w:lang w:val="en-US"/>
        </w:rPr>
        <w:t xml:space="preserve">to </w:t>
      </w:r>
      <w:r w:rsidR="00F3730F" w:rsidRPr="00D43AA8">
        <w:rPr>
          <w:szCs w:val="24"/>
          <w:lang w:val="en-US"/>
        </w:rPr>
        <w:t xml:space="preserve">evaluate the integrity of white matter tracts in children with </w:t>
      </w:r>
      <w:proofErr w:type="spellStart"/>
      <w:r w:rsidR="00F3730F" w:rsidRPr="00D43AA8">
        <w:rPr>
          <w:szCs w:val="24"/>
          <w:lang w:val="en-US"/>
        </w:rPr>
        <w:t>pharmacoresistant</w:t>
      </w:r>
      <w:proofErr w:type="spellEnd"/>
      <w:r w:rsidR="00F3730F" w:rsidRPr="00D43AA8">
        <w:rPr>
          <w:szCs w:val="24"/>
          <w:lang w:val="en-US"/>
        </w:rPr>
        <w:t xml:space="preserve"> epilepsy secondary to FCD. </w:t>
      </w:r>
      <w:r w:rsidR="00907557" w:rsidRPr="00D43AA8">
        <w:rPr>
          <w:szCs w:val="24"/>
          <w:lang w:val="en-US"/>
        </w:rPr>
        <w:t>More specifically, we investigate</w:t>
      </w:r>
      <w:r w:rsidR="00F8214B" w:rsidRPr="00D43AA8">
        <w:rPr>
          <w:szCs w:val="24"/>
          <w:lang w:val="en-US"/>
        </w:rPr>
        <w:t>d</w:t>
      </w:r>
      <w:r w:rsidR="00907557" w:rsidRPr="00D43AA8">
        <w:rPr>
          <w:szCs w:val="24"/>
          <w:lang w:val="en-US"/>
        </w:rPr>
        <w:t xml:space="preserve"> alterations in tracts with different </w:t>
      </w:r>
      <w:r w:rsidR="005A73FC" w:rsidRPr="00D43AA8">
        <w:rPr>
          <w:szCs w:val="24"/>
          <w:lang w:val="en-US"/>
        </w:rPr>
        <w:t xml:space="preserve">patterns of maturation across </w:t>
      </w:r>
      <w:r w:rsidR="00F8214B" w:rsidRPr="00D43AA8">
        <w:rPr>
          <w:szCs w:val="24"/>
          <w:lang w:val="en-US"/>
        </w:rPr>
        <w:t>l</w:t>
      </w:r>
      <w:r w:rsidR="005460F2" w:rsidRPr="00D43AA8">
        <w:rPr>
          <w:szCs w:val="24"/>
          <w:lang w:val="en-US"/>
        </w:rPr>
        <w:t>ifespan</w:t>
      </w:r>
      <w:r w:rsidR="005A73FC" w:rsidRPr="00D43AA8">
        <w:rPr>
          <w:szCs w:val="24"/>
          <w:lang w:val="en-US"/>
        </w:rPr>
        <w:t>.</w:t>
      </w:r>
    </w:p>
    <w:p w14:paraId="6A4BD8E8" w14:textId="77777777" w:rsidR="00EE6024" w:rsidRPr="00EE6024" w:rsidRDefault="00EE6024" w:rsidP="00D43AA8">
      <w:pPr>
        <w:widowControl w:val="0"/>
        <w:autoSpaceDE w:val="0"/>
        <w:autoSpaceDN w:val="0"/>
        <w:adjustRightInd w:val="0"/>
        <w:rPr>
          <w:sz w:val="22"/>
          <w:lang w:val="en-US"/>
        </w:rPr>
      </w:pPr>
    </w:p>
    <w:p w14:paraId="5A1A6E45" w14:textId="0D0ED6FF" w:rsidR="00D43AA8" w:rsidRDefault="007D710E" w:rsidP="00D43AA8">
      <w:pPr>
        <w:widowControl w:val="0"/>
        <w:autoSpaceDE w:val="0"/>
        <w:autoSpaceDN w:val="0"/>
        <w:adjustRightInd w:val="0"/>
        <w:rPr>
          <w:i/>
          <w:szCs w:val="24"/>
          <w:lang w:val="en-US"/>
        </w:rPr>
      </w:pPr>
      <w:r w:rsidRPr="00D43AA8">
        <w:rPr>
          <w:b/>
          <w:szCs w:val="24"/>
          <w:lang w:val="en-US"/>
        </w:rPr>
        <w:t>Materials and Methods:</w:t>
      </w:r>
      <w:r w:rsidR="00F3730F" w:rsidRPr="00D43AA8">
        <w:rPr>
          <w:szCs w:val="24"/>
          <w:lang w:val="en-US"/>
        </w:rPr>
        <w:t xml:space="preserve"> We analyzed diffusion tensor imaging (DTI) </w:t>
      </w:r>
      <w:r w:rsidR="00C55807" w:rsidRPr="00D43AA8">
        <w:rPr>
          <w:szCs w:val="24"/>
          <w:lang w:val="en-US"/>
        </w:rPr>
        <w:t xml:space="preserve">acquired in </w:t>
      </w:r>
      <w:r w:rsidR="007B2968" w:rsidRPr="00D43AA8">
        <w:rPr>
          <w:szCs w:val="24"/>
          <w:lang w:val="en-US"/>
        </w:rPr>
        <w:t xml:space="preserve">a </w:t>
      </w:r>
      <w:r w:rsidR="00C55807" w:rsidRPr="00D43AA8">
        <w:rPr>
          <w:szCs w:val="24"/>
          <w:lang w:val="en-US"/>
        </w:rPr>
        <w:t>3</w:t>
      </w:r>
      <w:r w:rsidR="007B2968" w:rsidRPr="00D43AA8">
        <w:rPr>
          <w:szCs w:val="24"/>
          <w:lang w:val="en-US"/>
        </w:rPr>
        <w:t xml:space="preserve"> </w:t>
      </w:r>
      <w:r w:rsidR="00C55807" w:rsidRPr="00D43AA8">
        <w:rPr>
          <w:szCs w:val="24"/>
          <w:lang w:val="en-US"/>
        </w:rPr>
        <w:t xml:space="preserve">Tesla MRI of 14 patients </w:t>
      </w:r>
      <w:r w:rsidR="00CA7824" w:rsidRPr="00D43AA8">
        <w:rPr>
          <w:szCs w:val="24"/>
          <w:lang w:val="en-US"/>
        </w:rPr>
        <w:t>(</w:t>
      </w:r>
      <w:r w:rsidR="00E63E51" w:rsidRPr="00D43AA8">
        <w:rPr>
          <w:szCs w:val="24"/>
          <w:lang w:val="en-US"/>
        </w:rPr>
        <w:t>1</w:t>
      </w:r>
      <w:r w:rsidR="003B4DD3" w:rsidRPr="00D43AA8">
        <w:rPr>
          <w:szCs w:val="24"/>
          <w:lang w:val="en-US"/>
        </w:rPr>
        <w:t>3</w:t>
      </w:r>
      <w:r w:rsidR="0081287D" w:rsidRPr="00D43AA8">
        <w:rPr>
          <w:szCs w:val="24"/>
          <w:lang w:val="en-US"/>
        </w:rPr>
        <w:t xml:space="preserve"> ± 4 </w:t>
      </w:r>
      <w:r w:rsidR="00E63E51" w:rsidRPr="00D43AA8">
        <w:rPr>
          <w:szCs w:val="24"/>
          <w:lang w:val="en-US"/>
        </w:rPr>
        <w:t xml:space="preserve">years, </w:t>
      </w:r>
      <w:r w:rsidR="003B4DD3" w:rsidRPr="00D43AA8">
        <w:rPr>
          <w:szCs w:val="24"/>
          <w:lang w:val="en-US"/>
        </w:rPr>
        <w:t>10</w:t>
      </w:r>
      <w:r w:rsidR="00CA7824" w:rsidRPr="00D43AA8">
        <w:rPr>
          <w:szCs w:val="24"/>
          <w:lang w:val="en-US"/>
        </w:rPr>
        <w:t xml:space="preserve"> female) </w:t>
      </w:r>
      <w:r w:rsidR="00C55807" w:rsidRPr="00D43AA8">
        <w:rPr>
          <w:szCs w:val="24"/>
          <w:lang w:val="en-US"/>
        </w:rPr>
        <w:t>and 29 age and sex-matched controls</w:t>
      </w:r>
      <w:r w:rsidR="00CA7824" w:rsidRPr="00D43AA8">
        <w:rPr>
          <w:szCs w:val="24"/>
          <w:lang w:val="en-US"/>
        </w:rPr>
        <w:t xml:space="preserve"> (</w:t>
      </w:r>
      <w:r w:rsidR="0081287D" w:rsidRPr="00D43AA8">
        <w:rPr>
          <w:szCs w:val="24"/>
          <w:lang w:val="en-US"/>
        </w:rPr>
        <w:t>13 ± 4 years</w:t>
      </w:r>
      <w:r w:rsidR="00CA7824" w:rsidRPr="00D43AA8">
        <w:rPr>
          <w:szCs w:val="24"/>
          <w:lang w:val="en-US"/>
        </w:rPr>
        <w:t xml:space="preserve">, </w:t>
      </w:r>
      <w:r w:rsidR="003B4DD3" w:rsidRPr="00D43AA8">
        <w:rPr>
          <w:szCs w:val="24"/>
          <w:lang w:val="en-US"/>
        </w:rPr>
        <w:t>17</w:t>
      </w:r>
      <w:r w:rsidR="00CA7824" w:rsidRPr="00D43AA8">
        <w:rPr>
          <w:szCs w:val="24"/>
          <w:lang w:val="en-US"/>
        </w:rPr>
        <w:t xml:space="preserve"> female)</w:t>
      </w:r>
      <w:r w:rsidR="00C55807" w:rsidRPr="00D43AA8">
        <w:rPr>
          <w:szCs w:val="24"/>
          <w:lang w:val="en-US"/>
        </w:rPr>
        <w:t xml:space="preserve">. </w:t>
      </w:r>
      <w:r w:rsidR="00EC58EE">
        <w:rPr>
          <w:szCs w:val="24"/>
          <w:lang w:val="en-US"/>
        </w:rPr>
        <w:t>The</w:t>
      </w:r>
      <w:r w:rsidR="0078240D" w:rsidRPr="00D43AA8">
        <w:rPr>
          <w:szCs w:val="24"/>
          <w:lang w:val="en-US"/>
        </w:rPr>
        <w:t xml:space="preserve"> cortical spinal tract (CST)</w:t>
      </w:r>
      <w:r w:rsidR="00EC58EE">
        <w:rPr>
          <w:szCs w:val="24"/>
          <w:lang w:val="en-US"/>
        </w:rPr>
        <w:t>, as an important source of projection fibers,</w:t>
      </w:r>
      <w:r w:rsidR="0078240D" w:rsidRPr="00D43AA8">
        <w:rPr>
          <w:szCs w:val="24"/>
          <w:lang w:val="en-US"/>
        </w:rPr>
        <w:t xml:space="preserve"> and the corpus callosum (CC)</w:t>
      </w:r>
      <w:r w:rsidR="00EC58EE">
        <w:rPr>
          <w:szCs w:val="24"/>
          <w:lang w:val="en-US"/>
        </w:rPr>
        <w:t xml:space="preserve">, </w:t>
      </w:r>
      <w:r w:rsidR="000373FE">
        <w:rPr>
          <w:szCs w:val="24"/>
          <w:lang w:val="en-US"/>
        </w:rPr>
        <w:t>as the main commissural fiber tract,</w:t>
      </w:r>
      <w:bookmarkStart w:id="0" w:name="_GoBack"/>
      <w:bookmarkEnd w:id="0"/>
      <w:r w:rsidR="0078240D" w:rsidRPr="00D43AA8">
        <w:rPr>
          <w:szCs w:val="24"/>
          <w:lang w:val="en-US"/>
        </w:rPr>
        <w:t xml:space="preserve"> were selected for the present </w:t>
      </w:r>
      <w:proofErr w:type="gramStart"/>
      <w:r w:rsidR="0078240D" w:rsidRPr="00D43AA8">
        <w:rPr>
          <w:szCs w:val="24"/>
          <w:lang w:val="en-US"/>
        </w:rPr>
        <w:t>study</w:t>
      </w:r>
      <w:r w:rsidR="00EC58EE">
        <w:rPr>
          <w:szCs w:val="24"/>
          <w:lang w:val="en-US"/>
        </w:rPr>
        <w:t xml:space="preserve"> </w:t>
      </w:r>
      <w:r w:rsidR="003B5CB3" w:rsidRPr="00D43AA8">
        <w:rPr>
          <w:szCs w:val="24"/>
          <w:lang w:val="en-US"/>
        </w:rPr>
        <w:t xml:space="preserve"> Images</w:t>
      </w:r>
      <w:proofErr w:type="gramEnd"/>
      <w:r w:rsidR="003B5CB3" w:rsidRPr="00D43AA8">
        <w:rPr>
          <w:szCs w:val="24"/>
          <w:lang w:val="en-US"/>
        </w:rPr>
        <w:t xml:space="preserve"> were processed and analyzed using the software</w:t>
      </w:r>
      <w:r w:rsidR="003D7745" w:rsidRPr="00D43AA8">
        <w:rPr>
          <w:szCs w:val="24"/>
          <w:lang w:val="en-US"/>
        </w:rPr>
        <w:t xml:space="preserve"> </w:t>
      </w:r>
      <w:proofErr w:type="spellStart"/>
      <w:r w:rsidR="003D7745" w:rsidRPr="00D43AA8">
        <w:rPr>
          <w:i/>
          <w:szCs w:val="24"/>
          <w:lang w:val="en-US"/>
        </w:rPr>
        <w:t>ExploreDTI</w:t>
      </w:r>
      <w:proofErr w:type="spellEnd"/>
      <w:r w:rsidR="001E4805" w:rsidRPr="00D43AA8">
        <w:rPr>
          <w:i/>
          <w:szCs w:val="24"/>
          <w:lang w:val="en-US"/>
        </w:rPr>
        <w:t xml:space="preserve"> </w:t>
      </w:r>
      <w:r w:rsidR="001E4805" w:rsidRPr="00D43AA8">
        <w:rPr>
          <w:szCs w:val="24"/>
          <w:lang w:val="en-US"/>
        </w:rPr>
        <w:t xml:space="preserve">with semiautomatic deterministic method to obtain average fractional anisotropy (FA), axial (AD), radial (RD) and mean (MD) diffusivity. </w:t>
      </w:r>
      <w:r w:rsidR="003974E7" w:rsidRPr="00D43AA8">
        <w:rPr>
          <w:szCs w:val="24"/>
          <w:lang w:val="en-US"/>
        </w:rPr>
        <w:t>S</w:t>
      </w:r>
      <w:r w:rsidR="00CA7824" w:rsidRPr="00D43AA8">
        <w:rPr>
          <w:szCs w:val="24"/>
          <w:lang w:val="en-US"/>
        </w:rPr>
        <w:t>tatistical analysis was</w:t>
      </w:r>
      <w:r w:rsidR="003D7745" w:rsidRPr="00D43AA8">
        <w:rPr>
          <w:szCs w:val="24"/>
          <w:lang w:val="en-US"/>
        </w:rPr>
        <w:t xml:space="preserve"> performed with SPSS 2</w:t>
      </w:r>
      <w:r w:rsidR="003B5CB3" w:rsidRPr="00D43AA8">
        <w:rPr>
          <w:szCs w:val="24"/>
          <w:lang w:val="en-US"/>
        </w:rPr>
        <w:t>4</w:t>
      </w:r>
      <w:r w:rsidR="00D43AA8">
        <w:rPr>
          <w:i/>
          <w:szCs w:val="24"/>
          <w:lang w:val="en-US"/>
        </w:rPr>
        <w:t>.</w:t>
      </w:r>
    </w:p>
    <w:p w14:paraId="7ACD348A" w14:textId="77777777" w:rsidR="00EE6024" w:rsidRPr="00EE6024" w:rsidRDefault="00EE6024" w:rsidP="00D43AA8">
      <w:pPr>
        <w:widowControl w:val="0"/>
        <w:autoSpaceDE w:val="0"/>
        <w:autoSpaceDN w:val="0"/>
        <w:adjustRightInd w:val="0"/>
        <w:rPr>
          <w:i/>
          <w:sz w:val="22"/>
          <w:lang w:val="en-US"/>
        </w:rPr>
      </w:pPr>
    </w:p>
    <w:p w14:paraId="2D65806E" w14:textId="77777777" w:rsidR="00EE6024" w:rsidRDefault="00CA7824" w:rsidP="00D43A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D43AA8">
        <w:rPr>
          <w:b/>
          <w:szCs w:val="24"/>
          <w:lang w:val="en-US"/>
        </w:rPr>
        <w:t>Results:</w:t>
      </w:r>
      <w:r w:rsidRPr="00D43AA8">
        <w:rPr>
          <w:i/>
          <w:szCs w:val="24"/>
          <w:lang w:val="en-US"/>
        </w:rPr>
        <w:t xml:space="preserve"> </w:t>
      </w:r>
      <w:r w:rsidRPr="00D43AA8">
        <w:rPr>
          <w:szCs w:val="24"/>
          <w:lang w:val="en-US"/>
        </w:rPr>
        <w:t xml:space="preserve"> </w:t>
      </w:r>
      <w:r w:rsidR="003974E7" w:rsidRPr="00D43AA8">
        <w:rPr>
          <w:szCs w:val="24"/>
          <w:lang w:val="en-US"/>
        </w:rPr>
        <w:t>Compared with controls, patients with FCD presented</w:t>
      </w:r>
      <w:r w:rsidR="00B65615" w:rsidRPr="00D43AA8">
        <w:rPr>
          <w:szCs w:val="24"/>
          <w:lang w:val="en-US"/>
        </w:rPr>
        <w:t xml:space="preserve"> increase of MD</w:t>
      </w:r>
      <w:r w:rsidR="00DC0BEC" w:rsidRPr="00D43AA8">
        <w:rPr>
          <w:szCs w:val="24"/>
          <w:lang w:val="en-US"/>
        </w:rPr>
        <w:t xml:space="preserve"> </w:t>
      </w:r>
      <w:r w:rsidR="00B65615" w:rsidRPr="00D43AA8">
        <w:rPr>
          <w:szCs w:val="24"/>
          <w:lang w:val="en-US"/>
        </w:rPr>
        <w:t xml:space="preserve">and RD in the </w:t>
      </w:r>
      <w:r w:rsidR="003974E7" w:rsidRPr="00D43AA8">
        <w:rPr>
          <w:szCs w:val="24"/>
          <w:lang w:val="en-US"/>
        </w:rPr>
        <w:t xml:space="preserve">genu </w:t>
      </w:r>
      <w:r w:rsidR="00365179" w:rsidRPr="00D43AA8">
        <w:rPr>
          <w:szCs w:val="24"/>
          <w:lang w:val="en-US"/>
        </w:rPr>
        <w:t xml:space="preserve">of the CC </w:t>
      </w:r>
      <w:r w:rsidR="00637EB8" w:rsidRPr="00D43AA8">
        <w:rPr>
          <w:szCs w:val="24"/>
          <w:lang w:val="en-US"/>
        </w:rPr>
        <w:t xml:space="preserve">(Two sample T-test, MD: </w:t>
      </w:r>
      <w:r w:rsidR="00E63E51" w:rsidRPr="00D43AA8">
        <w:rPr>
          <w:szCs w:val="24"/>
          <w:lang w:val="en-US"/>
        </w:rPr>
        <w:t>p&lt;</w:t>
      </w:r>
      <w:r w:rsidR="003B4DD3" w:rsidRPr="00D43AA8">
        <w:rPr>
          <w:szCs w:val="24"/>
          <w:lang w:val="en-US"/>
        </w:rPr>
        <w:t>0.0</w:t>
      </w:r>
      <w:r w:rsidR="00E63E51" w:rsidRPr="00D43AA8">
        <w:rPr>
          <w:szCs w:val="24"/>
          <w:lang w:val="en-US"/>
        </w:rPr>
        <w:t>01</w:t>
      </w:r>
      <w:r w:rsidR="00637EB8" w:rsidRPr="00D43AA8">
        <w:rPr>
          <w:szCs w:val="24"/>
          <w:lang w:val="en-US"/>
        </w:rPr>
        <w:t xml:space="preserve">; RD: </w:t>
      </w:r>
      <w:r w:rsidR="003B4DD3" w:rsidRPr="00D43AA8">
        <w:rPr>
          <w:szCs w:val="24"/>
          <w:lang w:val="en-US"/>
        </w:rPr>
        <w:t>p=0.03</w:t>
      </w:r>
      <w:r w:rsidR="00637EB8" w:rsidRPr="00D43AA8">
        <w:rPr>
          <w:szCs w:val="24"/>
          <w:lang w:val="en-US"/>
        </w:rPr>
        <w:t xml:space="preserve">) </w:t>
      </w:r>
      <w:r w:rsidR="00DC0BEC" w:rsidRPr="00D43AA8">
        <w:rPr>
          <w:szCs w:val="24"/>
          <w:lang w:val="en-US"/>
        </w:rPr>
        <w:t>and</w:t>
      </w:r>
      <w:r w:rsidR="003974E7" w:rsidRPr="00D43AA8">
        <w:rPr>
          <w:szCs w:val="24"/>
          <w:lang w:val="en-US"/>
        </w:rPr>
        <w:t xml:space="preserve"> increase of FA </w:t>
      </w:r>
      <w:r w:rsidR="00637EB8" w:rsidRPr="00D43AA8">
        <w:rPr>
          <w:szCs w:val="24"/>
          <w:lang w:val="en-US"/>
        </w:rPr>
        <w:t>(</w:t>
      </w:r>
      <w:r w:rsidR="003B4DD3" w:rsidRPr="00D43AA8">
        <w:rPr>
          <w:szCs w:val="24"/>
          <w:lang w:val="en-US"/>
        </w:rPr>
        <w:t>p=0.</w:t>
      </w:r>
      <w:r w:rsidR="00653CBF" w:rsidRPr="00D43AA8">
        <w:rPr>
          <w:szCs w:val="24"/>
          <w:lang w:val="en-US"/>
        </w:rPr>
        <w:t>0</w:t>
      </w:r>
      <w:r w:rsidR="003B4DD3" w:rsidRPr="00D43AA8">
        <w:rPr>
          <w:szCs w:val="24"/>
          <w:lang w:val="en-US"/>
        </w:rPr>
        <w:t>11</w:t>
      </w:r>
      <w:r w:rsidR="00637EB8" w:rsidRPr="00D43AA8">
        <w:rPr>
          <w:szCs w:val="24"/>
          <w:lang w:val="en-US"/>
        </w:rPr>
        <w:t xml:space="preserve">) </w:t>
      </w:r>
      <w:r w:rsidR="003974E7" w:rsidRPr="00D43AA8">
        <w:rPr>
          <w:szCs w:val="24"/>
          <w:lang w:val="en-US"/>
        </w:rPr>
        <w:t xml:space="preserve">and MD </w:t>
      </w:r>
      <w:r w:rsidR="00637EB8" w:rsidRPr="00D43AA8">
        <w:rPr>
          <w:szCs w:val="24"/>
          <w:lang w:val="en-US"/>
        </w:rPr>
        <w:t>(</w:t>
      </w:r>
      <w:r w:rsidR="003B4DD3" w:rsidRPr="00D43AA8">
        <w:rPr>
          <w:szCs w:val="24"/>
          <w:lang w:val="en-US"/>
        </w:rPr>
        <w:t>p=0.</w:t>
      </w:r>
      <w:r w:rsidR="00973312" w:rsidRPr="00D43AA8">
        <w:rPr>
          <w:szCs w:val="24"/>
          <w:lang w:val="en-US"/>
        </w:rPr>
        <w:t>0</w:t>
      </w:r>
      <w:r w:rsidR="003B4DD3" w:rsidRPr="00D43AA8">
        <w:rPr>
          <w:szCs w:val="24"/>
          <w:lang w:val="en-US"/>
        </w:rPr>
        <w:t>46</w:t>
      </w:r>
      <w:r w:rsidR="00637EB8" w:rsidRPr="00D43AA8">
        <w:rPr>
          <w:szCs w:val="24"/>
          <w:lang w:val="en-US"/>
        </w:rPr>
        <w:t xml:space="preserve">) </w:t>
      </w:r>
      <w:r w:rsidR="003974E7" w:rsidRPr="00D43AA8">
        <w:rPr>
          <w:szCs w:val="24"/>
          <w:lang w:val="en-US"/>
        </w:rPr>
        <w:t xml:space="preserve">in the splenium of the CC. </w:t>
      </w:r>
      <w:r w:rsidR="00637EB8" w:rsidRPr="00D43AA8">
        <w:rPr>
          <w:szCs w:val="24"/>
          <w:lang w:val="en-US"/>
        </w:rPr>
        <w:t>Differently</w:t>
      </w:r>
      <w:r w:rsidR="003974E7" w:rsidRPr="00D43AA8">
        <w:rPr>
          <w:szCs w:val="24"/>
          <w:lang w:val="en-US"/>
        </w:rPr>
        <w:t xml:space="preserve">, </w:t>
      </w:r>
      <w:r w:rsidR="00E63E51" w:rsidRPr="00D43AA8">
        <w:rPr>
          <w:szCs w:val="24"/>
          <w:lang w:val="en-US"/>
        </w:rPr>
        <w:t>patients</w:t>
      </w:r>
      <w:r w:rsidR="003974E7" w:rsidRPr="00D43AA8">
        <w:rPr>
          <w:szCs w:val="24"/>
          <w:lang w:val="en-US"/>
        </w:rPr>
        <w:t xml:space="preserve"> presented </w:t>
      </w:r>
      <w:r w:rsidR="00B65615" w:rsidRPr="00D43AA8">
        <w:rPr>
          <w:szCs w:val="24"/>
          <w:lang w:val="en-US"/>
        </w:rPr>
        <w:t>decrease of MD</w:t>
      </w:r>
      <w:r w:rsidR="00637EB8" w:rsidRPr="00D43AA8">
        <w:rPr>
          <w:szCs w:val="24"/>
          <w:lang w:val="en-US"/>
        </w:rPr>
        <w:t xml:space="preserve"> (</w:t>
      </w:r>
      <w:r w:rsidR="003B4DD3" w:rsidRPr="00D43AA8">
        <w:rPr>
          <w:szCs w:val="24"/>
          <w:lang w:val="en-US"/>
        </w:rPr>
        <w:t>p=0.009</w:t>
      </w:r>
      <w:r w:rsidR="00637EB8" w:rsidRPr="00D43AA8">
        <w:rPr>
          <w:szCs w:val="24"/>
          <w:lang w:val="en-US"/>
        </w:rPr>
        <w:t>)</w:t>
      </w:r>
      <w:r w:rsidR="00B65615" w:rsidRPr="00D43AA8">
        <w:rPr>
          <w:szCs w:val="24"/>
          <w:lang w:val="en-US"/>
        </w:rPr>
        <w:t xml:space="preserve">, AD </w:t>
      </w:r>
      <w:r w:rsidR="00637EB8" w:rsidRPr="00D43AA8">
        <w:rPr>
          <w:szCs w:val="24"/>
          <w:lang w:val="en-US"/>
        </w:rPr>
        <w:t>(</w:t>
      </w:r>
      <w:r w:rsidR="00E63E51" w:rsidRPr="00D43AA8">
        <w:rPr>
          <w:szCs w:val="24"/>
          <w:lang w:val="en-US"/>
        </w:rPr>
        <w:t>p&lt;0.001</w:t>
      </w:r>
      <w:r w:rsidR="00637EB8" w:rsidRPr="00D43AA8">
        <w:rPr>
          <w:szCs w:val="24"/>
          <w:lang w:val="en-US"/>
        </w:rPr>
        <w:t xml:space="preserve">) </w:t>
      </w:r>
      <w:r w:rsidR="00B65615" w:rsidRPr="00D43AA8">
        <w:rPr>
          <w:szCs w:val="24"/>
          <w:lang w:val="en-US"/>
        </w:rPr>
        <w:t xml:space="preserve">and RD </w:t>
      </w:r>
      <w:r w:rsidR="00637EB8" w:rsidRPr="00D43AA8">
        <w:rPr>
          <w:szCs w:val="24"/>
          <w:lang w:val="en-US"/>
        </w:rPr>
        <w:t>(</w:t>
      </w:r>
      <w:r w:rsidR="003B4DD3" w:rsidRPr="00D43AA8">
        <w:rPr>
          <w:szCs w:val="24"/>
          <w:lang w:val="en-US"/>
        </w:rPr>
        <w:t>p=0.</w:t>
      </w:r>
      <w:r w:rsidR="00E74525" w:rsidRPr="00D43AA8">
        <w:rPr>
          <w:szCs w:val="24"/>
          <w:lang w:val="en-US"/>
        </w:rPr>
        <w:t>0</w:t>
      </w:r>
      <w:r w:rsidR="003B4DD3" w:rsidRPr="00D43AA8">
        <w:rPr>
          <w:szCs w:val="24"/>
          <w:lang w:val="en-US"/>
        </w:rPr>
        <w:t>2</w:t>
      </w:r>
      <w:r w:rsidR="00637EB8" w:rsidRPr="00D43AA8">
        <w:rPr>
          <w:szCs w:val="24"/>
          <w:lang w:val="en-US"/>
        </w:rPr>
        <w:t xml:space="preserve">) </w:t>
      </w:r>
      <w:r w:rsidR="00B65615" w:rsidRPr="00D43AA8">
        <w:rPr>
          <w:szCs w:val="24"/>
          <w:lang w:val="en-US"/>
        </w:rPr>
        <w:t xml:space="preserve">in the </w:t>
      </w:r>
      <w:r w:rsidR="003974E7" w:rsidRPr="00D43AA8">
        <w:rPr>
          <w:szCs w:val="24"/>
          <w:lang w:val="en-US"/>
        </w:rPr>
        <w:t xml:space="preserve">CST </w:t>
      </w:r>
      <w:r w:rsidR="00B65615" w:rsidRPr="00D43AA8">
        <w:rPr>
          <w:szCs w:val="24"/>
          <w:lang w:val="en-US"/>
        </w:rPr>
        <w:t xml:space="preserve">ipsilateral </w:t>
      </w:r>
      <w:r w:rsidR="003974E7" w:rsidRPr="00D43AA8">
        <w:rPr>
          <w:szCs w:val="24"/>
          <w:lang w:val="en-US"/>
        </w:rPr>
        <w:t>to the FCD</w:t>
      </w:r>
      <w:r w:rsidR="00B65615" w:rsidRPr="00D43AA8">
        <w:rPr>
          <w:szCs w:val="24"/>
          <w:lang w:val="en-US"/>
        </w:rPr>
        <w:t>.</w:t>
      </w:r>
      <w:r w:rsidR="003974E7" w:rsidRPr="00D43AA8">
        <w:rPr>
          <w:szCs w:val="24"/>
          <w:lang w:val="en-US"/>
        </w:rPr>
        <w:t xml:space="preserve"> </w:t>
      </w:r>
    </w:p>
    <w:p w14:paraId="43053897" w14:textId="29FCBDD3" w:rsidR="00D43AA8" w:rsidRPr="00D43AA8" w:rsidRDefault="007B2968" w:rsidP="00D43A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D43AA8">
        <w:rPr>
          <w:szCs w:val="24"/>
          <w:lang w:val="en-US"/>
        </w:rPr>
        <w:tab/>
      </w:r>
    </w:p>
    <w:p w14:paraId="3FAF949C" w14:textId="23F8F645" w:rsidR="00EE6024" w:rsidRPr="002B4B21" w:rsidRDefault="00B76EE8" w:rsidP="00D43AA8">
      <w:pPr>
        <w:widowControl w:val="0"/>
        <w:autoSpaceDE w:val="0"/>
        <w:autoSpaceDN w:val="0"/>
        <w:adjustRightInd w:val="0"/>
        <w:rPr>
          <w:color w:val="000000" w:themeColor="text1"/>
          <w:szCs w:val="24"/>
          <w:lang w:val="en-US"/>
        </w:rPr>
      </w:pPr>
      <w:r w:rsidRPr="00D43AA8">
        <w:rPr>
          <w:b/>
          <w:szCs w:val="24"/>
          <w:lang w:val="en-US"/>
        </w:rPr>
        <w:t>Discussion:</w:t>
      </w:r>
      <w:r w:rsidR="003974E7" w:rsidRPr="00D43AA8">
        <w:rPr>
          <w:szCs w:val="24"/>
          <w:lang w:val="en-US"/>
        </w:rPr>
        <w:t xml:space="preserve"> Children with epilepsy </w:t>
      </w:r>
      <w:r w:rsidR="002119E3" w:rsidRPr="00D43AA8">
        <w:rPr>
          <w:szCs w:val="24"/>
          <w:lang w:val="en-US"/>
        </w:rPr>
        <w:t>and</w:t>
      </w:r>
      <w:r w:rsidR="003974E7" w:rsidRPr="00D43AA8">
        <w:rPr>
          <w:szCs w:val="24"/>
          <w:lang w:val="en-US"/>
        </w:rPr>
        <w:t xml:space="preserve"> FCD have abnormalities in white matter tracts. </w:t>
      </w:r>
      <w:r w:rsidR="001E4805" w:rsidRPr="00D43AA8">
        <w:rPr>
          <w:szCs w:val="24"/>
          <w:lang w:val="en-US"/>
        </w:rPr>
        <w:t xml:space="preserve">These abnormalities differ </w:t>
      </w:r>
      <w:r w:rsidR="001E4805" w:rsidRPr="00D43AA8">
        <w:rPr>
          <w:color w:val="000000" w:themeColor="text1"/>
          <w:szCs w:val="24"/>
          <w:lang w:val="en-US"/>
        </w:rPr>
        <w:t xml:space="preserve">between CC and CST, with the first showing </w:t>
      </w:r>
      <w:r w:rsidR="002A59AF" w:rsidRPr="00D43AA8">
        <w:rPr>
          <w:color w:val="000000" w:themeColor="text1"/>
          <w:szCs w:val="24"/>
          <w:lang w:val="en-US"/>
        </w:rPr>
        <w:t>increase in</w:t>
      </w:r>
      <w:r w:rsidR="001E4805" w:rsidRPr="00D43AA8">
        <w:rPr>
          <w:color w:val="000000" w:themeColor="text1"/>
          <w:szCs w:val="24"/>
          <w:lang w:val="en-US"/>
        </w:rPr>
        <w:t xml:space="preserve"> FA</w:t>
      </w:r>
      <w:r w:rsidR="002A59AF" w:rsidRPr="00D43AA8">
        <w:rPr>
          <w:color w:val="000000" w:themeColor="text1"/>
          <w:szCs w:val="24"/>
          <w:lang w:val="en-US"/>
        </w:rPr>
        <w:t xml:space="preserve"> and other diffusivities and the later showing decreased diffusivities</w:t>
      </w:r>
      <w:r w:rsidR="001E4805" w:rsidRPr="00D43AA8">
        <w:rPr>
          <w:color w:val="000000" w:themeColor="text1"/>
          <w:szCs w:val="24"/>
          <w:lang w:val="en-US"/>
        </w:rPr>
        <w:t>. These tracts have</w:t>
      </w:r>
      <w:r w:rsidR="002A59AF" w:rsidRPr="00D43AA8">
        <w:rPr>
          <w:color w:val="000000" w:themeColor="text1"/>
          <w:szCs w:val="24"/>
          <w:lang w:val="en-US"/>
        </w:rPr>
        <w:t xml:space="preserve"> </w:t>
      </w:r>
      <w:r w:rsidR="001345AE" w:rsidRPr="00D43AA8">
        <w:rPr>
          <w:color w:val="000000" w:themeColor="text1"/>
          <w:szCs w:val="24"/>
          <w:lang w:val="en-US"/>
        </w:rPr>
        <w:t>similar</w:t>
      </w:r>
      <w:r w:rsidR="002A59AF" w:rsidRPr="00D43AA8">
        <w:rPr>
          <w:color w:val="000000" w:themeColor="text1"/>
          <w:szCs w:val="24"/>
          <w:lang w:val="en-US"/>
        </w:rPr>
        <w:t xml:space="preserve"> patterns</w:t>
      </w:r>
      <w:r w:rsidR="001E4805" w:rsidRPr="00D43AA8">
        <w:rPr>
          <w:color w:val="000000" w:themeColor="text1"/>
          <w:szCs w:val="24"/>
          <w:lang w:val="en-US"/>
        </w:rPr>
        <w:t xml:space="preserve"> of maturation in n</w:t>
      </w:r>
      <w:r w:rsidR="00EE6024">
        <w:rPr>
          <w:color w:val="000000" w:themeColor="text1"/>
          <w:szCs w:val="24"/>
          <w:lang w:val="en-US"/>
        </w:rPr>
        <w:t xml:space="preserve">ormal children: </w:t>
      </w:r>
      <w:r w:rsidR="001345AE" w:rsidRPr="00D43AA8">
        <w:rPr>
          <w:color w:val="000000" w:themeColor="text1"/>
          <w:szCs w:val="24"/>
          <w:lang w:val="en-US"/>
        </w:rPr>
        <w:t>FA showing progressive increase</w:t>
      </w:r>
      <w:r w:rsidR="001E4805" w:rsidRPr="00D43AA8">
        <w:rPr>
          <w:color w:val="000000" w:themeColor="text1"/>
          <w:szCs w:val="24"/>
          <w:lang w:val="en-US"/>
        </w:rPr>
        <w:t xml:space="preserve"> </w:t>
      </w:r>
      <w:r w:rsidR="002A59AF" w:rsidRPr="00D43AA8">
        <w:rPr>
          <w:color w:val="000000" w:themeColor="text1"/>
          <w:szCs w:val="24"/>
          <w:lang w:val="en-US"/>
        </w:rPr>
        <w:t>and</w:t>
      </w:r>
      <w:r w:rsidR="00EE6024">
        <w:rPr>
          <w:color w:val="000000" w:themeColor="text1"/>
          <w:szCs w:val="24"/>
          <w:lang w:val="en-US"/>
        </w:rPr>
        <w:t>,</w:t>
      </w:r>
      <w:r w:rsidR="002A59AF" w:rsidRPr="00D43AA8">
        <w:rPr>
          <w:color w:val="000000" w:themeColor="text1"/>
          <w:szCs w:val="24"/>
          <w:lang w:val="en-US"/>
        </w:rPr>
        <w:t xml:space="preserve"> </w:t>
      </w:r>
      <w:r w:rsidR="001345AE" w:rsidRPr="00D43AA8">
        <w:rPr>
          <w:color w:val="000000" w:themeColor="text1"/>
          <w:szCs w:val="24"/>
          <w:lang w:val="en-US"/>
        </w:rPr>
        <w:t>MD</w:t>
      </w:r>
      <w:r w:rsidR="00EE6024">
        <w:rPr>
          <w:color w:val="000000" w:themeColor="text1"/>
          <w:szCs w:val="24"/>
          <w:lang w:val="en-US"/>
        </w:rPr>
        <w:t xml:space="preserve">, </w:t>
      </w:r>
      <w:r w:rsidR="002A59AF" w:rsidRPr="00D43AA8">
        <w:rPr>
          <w:color w:val="000000" w:themeColor="text1"/>
          <w:szCs w:val="24"/>
          <w:lang w:val="en-US"/>
        </w:rPr>
        <w:t xml:space="preserve">progressive </w:t>
      </w:r>
      <w:r w:rsidR="001345AE" w:rsidRPr="00D43AA8">
        <w:rPr>
          <w:color w:val="000000" w:themeColor="text1"/>
          <w:szCs w:val="24"/>
          <w:lang w:val="en-US"/>
        </w:rPr>
        <w:t>decrease</w:t>
      </w:r>
      <w:r w:rsidR="002A59AF" w:rsidRPr="00D43AA8">
        <w:rPr>
          <w:color w:val="000000" w:themeColor="text1"/>
          <w:szCs w:val="24"/>
          <w:vertAlign w:val="superscript"/>
          <w:lang w:val="en-US"/>
        </w:rPr>
        <w:t>1,2</w:t>
      </w:r>
      <w:r w:rsidRPr="00D43AA8">
        <w:rPr>
          <w:color w:val="000000" w:themeColor="text1"/>
          <w:szCs w:val="24"/>
          <w:lang w:val="en-US"/>
        </w:rPr>
        <w:t>.</w:t>
      </w:r>
    </w:p>
    <w:tbl>
      <w:tblPr>
        <w:tblpPr w:leftFromText="141" w:rightFromText="141" w:vertAnchor="text" w:horzAnchor="page" w:tblpX="692" w:tblpY="69"/>
        <w:tblW w:w="10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1506"/>
        <w:gridCol w:w="3827"/>
        <w:gridCol w:w="2877"/>
      </w:tblGrid>
      <w:tr w:rsidR="00EE6024" w:rsidRPr="00FD6CD4" w14:paraId="55A0F1EF" w14:textId="77777777" w:rsidTr="00EE6024">
        <w:trPr>
          <w:trHeight w:hRule="exact" w:val="255"/>
        </w:trPr>
        <w:tc>
          <w:tcPr>
            <w:tcW w:w="10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5C7928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 xml:space="preserve">Table 1 – Comparison between the results of the present study with the literature </w:t>
            </w:r>
            <w:r w:rsidRPr="002B4B21">
              <w:rPr>
                <w:rFonts w:eastAsia="Times New Roman"/>
                <w:color w:val="000000"/>
                <w:sz w:val="20"/>
                <w:vertAlign w:val="superscript"/>
                <w:lang w:val="en-US" w:eastAsia="pt-BR"/>
              </w:rPr>
              <w:t>1,2</w:t>
            </w:r>
          </w:p>
        </w:tc>
      </w:tr>
      <w:tr w:rsidR="00EE6024" w:rsidRPr="002B4B21" w14:paraId="792E3BAA" w14:textId="77777777" w:rsidTr="00EE6024">
        <w:trPr>
          <w:trHeight w:hRule="exact"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E4826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b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b/>
                <w:color w:val="000000"/>
                <w:sz w:val="20"/>
                <w:lang w:val="en-US" w:eastAsia="pt-BR"/>
              </w:rPr>
              <w:t>Anatomic region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2A9FB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b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b/>
                <w:color w:val="000000"/>
                <w:sz w:val="20"/>
                <w:lang w:val="en-US" w:eastAsia="pt-BR"/>
              </w:rPr>
              <w:t xml:space="preserve">Parameter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C34D" w14:textId="77777777" w:rsidR="00EE6024" w:rsidRPr="002B4B21" w:rsidRDefault="00EE6024" w:rsidP="00EE6024">
            <w:pPr>
              <w:spacing w:line="276" w:lineRule="auto"/>
              <w:rPr>
                <w:rFonts w:eastAsia="Times New Roman"/>
                <w:b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b/>
                <w:color w:val="000000"/>
                <w:sz w:val="20"/>
                <w:lang w:val="en-US" w:eastAsia="pt-BR"/>
              </w:rPr>
              <w:t>Patients with FCD in comparison with healthy controls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40E88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b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b/>
                <w:color w:val="000000"/>
                <w:sz w:val="20"/>
                <w:lang w:val="en-US" w:eastAsia="pt-BR"/>
              </w:rPr>
              <w:t xml:space="preserve">Literature </w:t>
            </w:r>
          </w:p>
        </w:tc>
      </w:tr>
      <w:tr w:rsidR="00EE6024" w:rsidRPr="002B4B21" w14:paraId="4A901571" w14:textId="77777777" w:rsidTr="00EE6024">
        <w:trPr>
          <w:trHeight w:hRule="exact" w:val="255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D4CD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Corpus Callosum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7B9F9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FA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68F41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-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26596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Progressive increase with age</w:t>
            </w:r>
          </w:p>
        </w:tc>
      </w:tr>
      <w:tr w:rsidR="00EE6024" w:rsidRPr="002B4B21" w14:paraId="2B466187" w14:textId="77777777" w:rsidTr="00EE6024">
        <w:trPr>
          <w:trHeight w:hRule="exact" w:val="255"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49363C0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66C1A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MD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E19DA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Increased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BC80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*</w:t>
            </w:r>
          </w:p>
        </w:tc>
      </w:tr>
      <w:tr w:rsidR="00EE6024" w:rsidRPr="002B4B21" w14:paraId="43D7ED28" w14:textId="77777777" w:rsidTr="00EE6024">
        <w:trPr>
          <w:trHeight w:hRule="exact" w:val="255"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6184884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2CCF1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AD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CFCFC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-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23BAB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*</w:t>
            </w:r>
          </w:p>
        </w:tc>
      </w:tr>
      <w:tr w:rsidR="00EE6024" w:rsidRPr="002B4B21" w14:paraId="5EE5EB82" w14:textId="77777777" w:rsidTr="00EE6024">
        <w:trPr>
          <w:trHeight w:hRule="exact" w:val="255"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DB1EFCC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93DE6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RD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883C3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Increased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39632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Progressive decrease with age</w:t>
            </w:r>
          </w:p>
        </w:tc>
      </w:tr>
      <w:tr w:rsidR="00EE6024" w:rsidRPr="002B4B21" w14:paraId="6EE080D0" w14:textId="77777777" w:rsidTr="00EE6024">
        <w:trPr>
          <w:trHeight w:hRule="exact" w:val="255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B112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Cortical Spinal Tract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DC705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FA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8EF98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-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C7FD2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 w:themeColor="text1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 w:themeColor="text1"/>
                <w:sz w:val="20"/>
                <w:lang w:val="en-US" w:eastAsia="pt-BR"/>
              </w:rPr>
              <w:t xml:space="preserve">Progressive increase with age </w:t>
            </w:r>
          </w:p>
        </w:tc>
      </w:tr>
      <w:tr w:rsidR="00EE6024" w:rsidRPr="002B4B21" w14:paraId="7B840670" w14:textId="77777777" w:rsidTr="00EE6024">
        <w:trPr>
          <w:trHeight w:hRule="exact" w:val="255"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5BAB07C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167E0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MD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AEC9D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decreased (ipsilateral to the FCD)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46FC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 w:themeColor="text1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 w:themeColor="text1"/>
                <w:sz w:val="20"/>
                <w:lang w:val="en-US" w:eastAsia="pt-BR"/>
              </w:rPr>
              <w:t>Progressive decrease with age</w:t>
            </w:r>
          </w:p>
        </w:tc>
      </w:tr>
      <w:tr w:rsidR="00EE6024" w:rsidRPr="002B4B21" w14:paraId="64E3F3D4" w14:textId="77777777" w:rsidTr="00EE6024">
        <w:trPr>
          <w:trHeight w:hRule="exact" w:val="255"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2F7EF2D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F47D2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AD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31F27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decreased (ipsilateral to the FCD)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EE92B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 w:themeColor="text1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 w:themeColor="text1"/>
                <w:sz w:val="20"/>
                <w:lang w:val="en-US" w:eastAsia="pt-BR"/>
              </w:rPr>
              <w:t>Progressive decrease with age</w:t>
            </w:r>
          </w:p>
        </w:tc>
      </w:tr>
      <w:tr w:rsidR="00EE6024" w:rsidRPr="002B4B21" w14:paraId="4928DCE8" w14:textId="77777777" w:rsidTr="00EE6024">
        <w:trPr>
          <w:trHeight w:hRule="exact" w:val="255"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80E0AB9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E149A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RD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93708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/>
                <w:sz w:val="20"/>
                <w:lang w:val="en-US" w:eastAsia="pt-BR"/>
              </w:rPr>
              <w:t>decreased (ipsilateral to the FCD)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F4B7" w14:textId="77777777" w:rsidR="00EE6024" w:rsidRPr="002B4B21" w:rsidRDefault="00EE6024" w:rsidP="00EE6024">
            <w:pPr>
              <w:spacing w:line="480" w:lineRule="auto"/>
              <w:rPr>
                <w:rFonts w:eastAsia="Times New Roman"/>
                <w:color w:val="000000" w:themeColor="text1"/>
                <w:sz w:val="20"/>
                <w:lang w:val="en-US" w:eastAsia="pt-BR"/>
              </w:rPr>
            </w:pPr>
            <w:r w:rsidRPr="002B4B21">
              <w:rPr>
                <w:rFonts w:eastAsia="Times New Roman"/>
                <w:color w:val="000000" w:themeColor="text1"/>
                <w:sz w:val="20"/>
                <w:lang w:val="en-US" w:eastAsia="pt-BR"/>
              </w:rPr>
              <w:t>Progressive decrease with age</w:t>
            </w:r>
          </w:p>
        </w:tc>
      </w:tr>
    </w:tbl>
    <w:p w14:paraId="241F66D2" w14:textId="77777777" w:rsidR="00EE6024" w:rsidRPr="00EE6024" w:rsidRDefault="00EE6024" w:rsidP="00D43AA8">
      <w:pPr>
        <w:widowControl w:val="0"/>
        <w:autoSpaceDE w:val="0"/>
        <w:autoSpaceDN w:val="0"/>
        <w:adjustRightInd w:val="0"/>
        <w:rPr>
          <w:color w:val="000000" w:themeColor="text1"/>
          <w:sz w:val="22"/>
          <w:lang w:val="en-US"/>
        </w:rPr>
      </w:pPr>
    </w:p>
    <w:p w14:paraId="1013F5A7" w14:textId="58402D42" w:rsidR="00F477E0" w:rsidRDefault="00B76EE8" w:rsidP="00D43A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D43AA8">
        <w:rPr>
          <w:b/>
          <w:szCs w:val="24"/>
          <w:lang w:val="en-US"/>
        </w:rPr>
        <w:t xml:space="preserve">Conclusion: </w:t>
      </w:r>
      <w:r w:rsidR="002A59AF" w:rsidRPr="00D43AA8">
        <w:rPr>
          <w:szCs w:val="24"/>
          <w:lang w:val="en-US"/>
        </w:rPr>
        <w:t xml:space="preserve">Therefore, our findings suggest that abnormalities of white matter tracts observed in children with FCD can be secondary </w:t>
      </w:r>
      <w:r w:rsidR="00E63E51" w:rsidRPr="00D43AA8">
        <w:rPr>
          <w:szCs w:val="24"/>
          <w:lang w:val="en-US"/>
        </w:rPr>
        <w:t>to</w:t>
      </w:r>
      <w:r w:rsidR="002A59AF" w:rsidRPr="00D43AA8">
        <w:rPr>
          <w:szCs w:val="24"/>
          <w:lang w:val="en-US"/>
        </w:rPr>
        <w:t xml:space="preserve"> impairment of normal maturational process.</w:t>
      </w:r>
    </w:p>
    <w:p w14:paraId="600B1487" w14:textId="77777777" w:rsidR="00EE6024" w:rsidRPr="00EE6024" w:rsidRDefault="00EE6024" w:rsidP="00D43AA8">
      <w:pPr>
        <w:widowControl w:val="0"/>
        <w:autoSpaceDE w:val="0"/>
        <w:autoSpaceDN w:val="0"/>
        <w:adjustRightInd w:val="0"/>
        <w:rPr>
          <w:sz w:val="22"/>
          <w:lang w:val="en-US"/>
        </w:rPr>
      </w:pPr>
    </w:p>
    <w:p w14:paraId="7E4222B1" w14:textId="5D92B00D" w:rsidR="005636C7" w:rsidRPr="00B76EE8" w:rsidRDefault="00B76EE8" w:rsidP="000567EC">
      <w:pPr>
        <w:widowControl w:val="0"/>
        <w:autoSpaceDE w:val="0"/>
        <w:autoSpaceDN w:val="0"/>
        <w:adjustRightInd w:val="0"/>
        <w:rPr>
          <w:color w:val="1A1A1A"/>
          <w:szCs w:val="24"/>
          <w:lang w:val="en-US"/>
        </w:rPr>
      </w:pPr>
      <w:r w:rsidRPr="00D43AA8">
        <w:rPr>
          <w:b/>
          <w:szCs w:val="24"/>
          <w:lang w:val="en-US"/>
        </w:rPr>
        <w:t xml:space="preserve">References: </w:t>
      </w:r>
      <w:r w:rsidRPr="00D43AA8">
        <w:rPr>
          <w:szCs w:val="24"/>
          <w:lang w:val="en-US"/>
        </w:rPr>
        <w:t xml:space="preserve">[1] </w:t>
      </w:r>
      <w:proofErr w:type="spellStart"/>
      <w:r w:rsidR="002B4B21">
        <w:rPr>
          <w:color w:val="000000" w:themeColor="text1"/>
          <w:szCs w:val="24"/>
          <w:lang w:val="en-US"/>
        </w:rPr>
        <w:t>Evstigneev</w:t>
      </w:r>
      <w:proofErr w:type="spellEnd"/>
      <w:r w:rsidR="002B4B21" w:rsidRPr="003A7228">
        <w:rPr>
          <w:color w:val="000000" w:themeColor="text1"/>
          <w:szCs w:val="24"/>
          <w:lang w:val="en-US"/>
        </w:rPr>
        <w:t xml:space="preserve"> VV</w:t>
      </w:r>
      <w:r w:rsidR="002B4B21">
        <w:rPr>
          <w:color w:val="000000" w:themeColor="text1"/>
          <w:szCs w:val="24"/>
          <w:lang w:val="en-US"/>
        </w:rPr>
        <w:t>,</w:t>
      </w:r>
      <w:r w:rsidR="002B4B21" w:rsidRPr="003A7228">
        <w:rPr>
          <w:color w:val="000000" w:themeColor="text1"/>
          <w:szCs w:val="24"/>
          <w:lang w:val="en-US"/>
        </w:rPr>
        <w:t xml:space="preserve"> </w:t>
      </w:r>
      <w:r w:rsidR="002B4B21">
        <w:rPr>
          <w:color w:val="000000" w:themeColor="text1"/>
          <w:szCs w:val="24"/>
          <w:lang w:val="en-US"/>
        </w:rPr>
        <w:t>et al</w:t>
      </w:r>
      <w:r w:rsidR="002B4B21" w:rsidRPr="003A7228">
        <w:rPr>
          <w:color w:val="000000" w:themeColor="text1"/>
          <w:szCs w:val="24"/>
          <w:lang w:val="en-US"/>
        </w:rPr>
        <w:t>.</w:t>
      </w:r>
      <w:r w:rsidR="002B4B21">
        <w:rPr>
          <w:color w:val="000000" w:themeColor="text1"/>
          <w:szCs w:val="24"/>
          <w:lang w:val="en-US"/>
        </w:rPr>
        <w:t xml:space="preserve"> (2013).</w:t>
      </w:r>
      <w:r w:rsidR="002B4B21" w:rsidRPr="003A7228">
        <w:rPr>
          <w:color w:val="000000" w:themeColor="text1"/>
          <w:szCs w:val="24"/>
          <w:lang w:val="en-US"/>
        </w:rPr>
        <w:t xml:space="preserve"> The effect of structural white matter abnormalities on the clinical course of epilepsy. </w:t>
      </w:r>
      <w:r w:rsidR="002B4B21" w:rsidRPr="003A7228">
        <w:rPr>
          <w:i/>
          <w:color w:val="000000" w:themeColor="text1"/>
          <w:szCs w:val="24"/>
          <w:lang w:val="en-US"/>
        </w:rPr>
        <w:t>Advances in Clinical and Experimental Medicine</w:t>
      </w:r>
      <w:r w:rsidR="002B4B21" w:rsidRPr="003A7228">
        <w:rPr>
          <w:color w:val="000000" w:themeColor="text1"/>
          <w:szCs w:val="24"/>
          <w:lang w:val="en-US"/>
        </w:rPr>
        <w:t>, 22, 529 – 537</w:t>
      </w:r>
      <w:r w:rsidR="002B4B21">
        <w:rPr>
          <w:color w:val="000000" w:themeColor="text1"/>
          <w:szCs w:val="24"/>
          <w:lang w:val="en-US"/>
        </w:rPr>
        <w:t xml:space="preserve">. [2} </w:t>
      </w:r>
      <w:proofErr w:type="spellStart"/>
      <w:r w:rsidR="00F477E0" w:rsidRPr="00D43AA8">
        <w:rPr>
          <w:szCs w:val="24"/>
          <w:lang w:val="en-US"/>
        </w:rPr>
        <w:t>E</w:t>
      </w:r>
      <w:r w:rsidR="002B4B21">
        <w:rPr>
          <w:color w:val="1A1A1A"/>
          <w:szCs w:val="24"/>
          <w:lang w:val="en-US"/>
        </w:rPr>
        <w:t>luvathingal</w:t>
      </w:r>
      <w:proofErr w:type="spellEnd"/>
      <w:r w:rsidR="002B4B21">
        <w:rPr>
          <w:color w:val="1A1A1A"/>
          <w:szCs w:val="24"/>
          <w:lang w:val="en-US"/>
        </w:rPr>
        <w:t xml:space="preserve"> TJ</w:t>
      </w:r>
      <w:r w:rsidR="00F477E0" w:rsidRPr="00D43AA8">
        <w:rPr>
          <w:color w:val="1A1A1A"/>
          <w:szCs w:val="24"/>
          <w:lang w:val="en-US"/>
        </w:rPr>
        <w:t xml:space="preserve">, </w:t>
      </w:r>
      <w:r w:rsidR="002B4B21">
        <w:rPr>
          <w:color w:val="1A1A1A"/>
          <w:szCs w:val="24"/>
          <w:lang w:val="en-US"/>
        </w:rPr>
        <w:t>et al</w:t>
      </w:r>
      <w:r w:rsidR="00F477E0" w:rsidRPr="00D43AA8">
        <w:rPr>
          <w:color w:val="1A1A1A"/>
          <w:szCs w:val="24"/>
          <w:lang w:val="en-US"/>
        </w:rPr>
        <w:t xml:space="preserve">. (2007). Quantitative diffusion tensor </w:t>
      </w:r>
      <w:proofErr w:type="spellStart"/>
      <w:r w:rsidR="00F477E0" w:rsidRPr="00D43AA8">
        <w:rPr>
          <w:color w:val="1A1A1A"/>
          <w:szCs w:val="24"/>
          <w:lang w:val="en-US"/>
        </w:rPr>
        <w:t>tractography</w:t>
      </w:r>
      <w:proofErr w:type="spellEnd"/>
      <w:r w:rsidR="00F477E0" w:rsidRPr="00D43AA8">
        <w:rPr>
          <w:color w:val="1A1A1A"/>
          <w:szCs w:val="24"/>
          <w:lang w:val="en-US"/>
        </w:rPr>
        <w:t xml:space="preserve"> of association and projection fibers in normally developing children and adolescents. </w:t>
      </w:r>
      <w:r w:rsidR="00F477E0" w:rsidRPr="00D43AA8">
        <w:rPr>
          <w:i/>
          <w:iCs/>
          <w:color w:val="1A1A1A"/>
          <w:szCs w:val="24"/>
          <w:lang w:val="en-US"/>
        </w:rPr>
        <w:t>Cerebral Cortex</w:t>
      </w:r>
      <w:r w:rsidR="00F477E0" w:rsidRPr="00D43AA8">
        <w:rPr>
          <w:color w:val="1A1A1A"/>
          <w:szCs w:val="24"/>
          <w:lang w:val="en-US"/>
        </w:rPr>
        <w:t xml:space="preserve">, </w:t>
      </w:r>
      <w:r w:rsidR="00F477E0" w:rsidRPr="00D43AA8">
        <w:rPr>
          <w:i/>
          <w:iCs/>
          <w:color w:val="1A1A1A"/>
          <w:szCs w:val="24"/>
          <w:lang w:val="en-US"/>
        </w:rPr>
        <w:t>17</w:t>
      </w:r>
      <w:r w:rsidRPr="00D43AA8">
        <w:rPr>
          <w:color w:val="1A1A1A"/>
          <w:szCs w:val="24"/>
          <w:lang w:val="en-US"/>
        </w:rPr>
        <w:t>(12), 2760-2768; [</w:t>
      </w:r>
      <w:r w:rsidR="00F477E0" w:rsidRPr="00D43AA8">
        <w:rPr>
          <w:color w:val="1A1A1A"/>
          <w:szCs w:val="24"/>
          <w:lang w:val="en-US"/>
        </w:rPr>
        <w:t>2</w:t>
      </w:r>
      <w:r w:rsidRPr="00D43AA8">
        <w:rPr>
          <w:color w:val="1A1A1A"/>
          <w:szCs w:val="24"/>
          <w:lang w:val="en-US"/>
        </w:rPr>
        <w:t>]</w:t>
      </w:r>
      <w:r w:rsidR="002B4B21">
        <w:rPr>
          <w:color w:val="1A1A1A"/>
          <w:szCs w:val="24"/>
          <w:lang w:val="en-US"/>
        </w:rPr>
        <w:t xml:space="preserve"> Hasan KM</w:t>
      </w:r>
      <w:r w:rsidR="00F477E0" w:rsidRPr="00D43AA8">
        <w:rPr>
          <w:color w:val="1A1A1A"/>
          <w:szCs w:val="24"/>
          <w:lang w:val="en-US"/>
        </w:rPr>
        <w:t xml:space="preserve">, </w:t>
      </w:r>
      <w:r w:rsidR="002B4B21">
        <w:rPr>
          <w:color w:val="1A1A1A"/>
          <w:szCs w:val="24"/>
          <w:lang w:val="en-US"/>
        </w:rPr>
        <w:t>et al</w:t>
      </w:r>
      <w:r w:rsidR="00F477E0" w:rsidRPr="00D43AA8">
        <w:rPr>
          <w:color w:val="1A1A1A"/>
          <w:szCs w:val="24"/>
          <w:lang w:val="en-US"/>
        </w:rPr>
        <w:t xml:space="preserve">. (2009). Diffusion tensor </w:t>
      </w:r>
      <w:proofErr w:type="spellStart"/>
      <w:r w:rsidR="00F477E0" w:rsidRPr="00D43AA8">
        <w:rPr>
          <w:color w:val="1A1A1A"/>
          <w:szCs w:val="24"/>
          <w:lang w:val="en-US"/>
        </w:rPr>
        <w:t>tractography</w:t>
      </w:r>
      <w:proofErr w:type="spellEnd"/>
      <w:r w:rsidR="00F477E0" w:rsidRPr="00D43AA8">
        <w:rPr>
          <w:color w:val="1A1A1A"/>
          <w:szCs w:val="24"/>
          <w:lang w:val="en-US"/>
        </w:rPr>
        <w:t xml:space="preserve"> quantification of the human corpus callosum fiber pathways across the lifespan. </w:t>
      </w:r>
      <w:r w:rsidR="00F477E0" w:rsidRPr="00D43AA8">
        <w:rPr>
          <w:i/>
          <w:iCs/>
          <w:color w:val="1A1A1A"/>
          <w:szCs w:val="24"/>
          <w:lang w:val="en-US"/>
        </w:rPr>
        <w:t>Brain research</w:t>
      </w:r>
      <w:r w:rsidR="00F477E0" w:rsidRPr="00D43AA8">
        <w:rPr>
          <w:color w:val="1A1A1A"/>
          <w:szCs w:val="24"/>
          <w:lang w:val="en-US"/>
        </w:rPr>
        <w:t xml:space="preserve">, </w:t>
      </w:r>
      <w:r w:rsidR="00F477E0" w:rsidRPr="00D43AA8">
        <w:rPr>
          <w:i/>
          <w:iCs/>
          <w:color w:val="1A1A1A"/>
          <w:szCs w:val="24"/>
          <w:lang w:val="en-US"/>
        </w:rPr>
        <w:t>1249</w:t>
      </w:r>
      <w:r w:rsidR="00F477E0" w:rsidRPr="00D43AA8">
        <w:rPr>
          <w:color w:val="1A1A1A"/>
          <w:szCs w:val="24"/>
          <w:lang w:val="en-US"/>
        </w:rPr>
        <w:t>, 91-100.</w:t>
      </w:r>
    </w:p>
    <w:sectPr w:rsidR="005636C7" w:rsidRPr="00B76EE8" w:rsidSect="00D43AA8">
      <w:headerReference w:type="default" r:id="rId6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0A4F6" w14:textId="77777777" w:rsidR="00EF037E" w:rsidRDefault="00EF037E" w:rsidP="004A6222">
      <w:r>
        <w:separator/>
      </w:r>
    </w:p>
  </w:endnote>
  <w:endnote w:type="continuationSeparator" w:id="0">
    <w:p w14:paraId="7061ADE5" w14:textId="77777777" w:rsidR="00EF037E" w:rsidRDefault="00EF037E" w:rsidP="004A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234BF" w14:textId="77777777" w:rsidR="00EF037E" w:rsidRDefault="00EF037E" w:rsidP="004A6222">
      <w:r>
        <w:separator/>
      </w:r>
    </w:p>
  </w:footnote>
  <w:footnote w:type="continuationSeparator" w:id="0">
    <w:p w14:paraId="51A66FF4" w14:textId="77777777" w:rsidR="00EF037E" w:rsidRDefault="00EF037E" w:rsidP="004A62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EDB76" w14:textId="74E8E0C5" w:rsidR="004A6222" w:rsidRDefault="004A622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03CCE5" wp14:editId="78BA981B">
              <wp:simplePos x="0" y="0"/>
              <wp:positionH relativeFrom="column">
                <wp:posOffset>5029200</wp:posOffset>
              </wp:positionH>
              <wp:positionV relativeFrom="paragraph">
                <wp:posOffset>-332740</wp:posOffset>
              </wp:positionV>
              <wp:extent cx="1371600" cy="6858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6A4F40" w14:textId="77777777" w:rsidR="004A6222" w:rsidRDefault="004A6222" w:rsidP="004A6222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6E6F256F" w14:textId="77777777" w:rsidR="004A6222" w:rsidRDefault="004A6222" w:rsidP="004A6222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38FC15B3" w14:textId="77777777" w:rsidR="004A6222" w:rsidRPr="000557A7" w:rsidRDefault="004A6222" w:rsidP="004A6222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  <w:p w14:paraId="67CA2939" w14:textId="77777777" w:rsidR="004A6222" w:rsidRDefault="004A62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3CCE5" id="_x0000_t202" coordsize="21600,21600" o:spt="202" path="m0,0l0,21600,21600,21600,21600,0xe">
              <v:stroke joinstyle="miter"/>
              <v:path gradientshapeok="t" o:connecttype="rect"/>
            </v:shapetype>
            <v:shape id="Caixa de Texto 3" o:spid="_x0000_s1026" type="#_x0000_t202" style="position:absolute;margin-left:396pt;margin-top:-26.15pt;width:108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" filled="f" stroked="f">
              <v:textbox>
                <w:txbxContent>
                  <w:p w14:paraId="296A4F40" w14:textId="77777777" w:rsidR="004A6222" w:rsidRDefault="004A6222" w:rsidP="004A6222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6E6F256F" w14:textId="77777777" w:rsidR="004A6222" w:rsidRDefault="004A6222" w:rsidP="004A6222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38FC15B3" w14:textId="77777777" w:rsidR="004A6222" w:rsidRPr="000557A7" w:rsidRDefault="004A6222" w:rsidP="004A6222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  <w:p w14:paraId="67CA2939" w14:textId="77777777" w:rsidR="004A6222" w:rsidRDefault="004A6222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2340D37" wp14:editId="0B44C02D">
          <wp:simplePos x="0" y="0"/>
          <wp:positionH relativeFrom="column">
            <wp:posOffset>-795655</wp:posOffset>
          </wp:positionH>
          <wp:positionV relativeFrom="paragraph">
            <wp:posOffset>-332740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A"/>
    <w:rsid w:val="0000311E"/>
    <w:rsid w:val="000373FE"/>
    <w:rsid w:val="000567EC"/>
    <w:rsid w:val="00056D1F"/>
    <w:rsid w:val="000E16FA"/>
    <w:rsid w:val="000E4E95"/>
    <w:rsid w:val="00100413"/>
    <w:rsid w:val="00100530"/>
    <w:rsid w:val="001345AE"/>
    <w:rsid w:val="00167138"/>
    <w:rsid w:val="00173E3F"/>
    <w:rsid w:val="001865A0"/>
    <w:rsid w:val="001919C2"/>
    <w:rsid w:val="001C4D7A"/>
    <w:rsid w:val="001E4805"/>
    <w:rsid w:val="002119E3"/>
    <w:rsid w:val="002265D8"/>
    <w:rsid w:val="00297544"/>
    <w:rsid w:val="002A59AF"/>
    <w:rsid w:val="002B4B21"/>
    <w:rsid w:val="002E3583"/>
    <w:rsid w:val="0033361D"/>
    <w:rsid w:val="003342E2"/>
    <w:rsid w:val="0035112A"/>
    <w:rsid w:val="00365179"/>
    <w:rsid w:val="00372B8F"/>
    <w:rsid w:val="003974E7"/>
    <w:rsid w:val="003B4DD3"/>
    <w:rsid w:val="003B5CB3"/>
    <w:rsid w:val="003D7745"/>
    <w:rsid w:val="003E114D"/>
    <w:rsid w:val="003E695E"/>
    <w:rsid w:val="003F7089"/>
    <w:rsid w:val="0043623A"/>
    <w:rsid w:val="00483DB4"/>
    <w:rsid w:val="0049119A"/>
    <w:rsid w:val="00491668"/>
    <w:rsid w:val="004A6222"/>
    <w:rsid w:val="004E22F7"/>
    <w:rsid w:val="005323E5"/>
    <w:rsid w:val="005460F2"/>
    <w:rsid w:val="005636C7"/>
    <w:rsid w:val="00585030"/>
    <w:rsid w:val="00596871"/>
    <w:rsid w:val="005A73FC"/>
    <w:rsid w:val="005B7332"/>
    <w:rsid w:val="005E4F3C"/>
    <w:rsid w:val="00616929"/>
    <w:rsid w:val="0062380F"/>
    <w:rsid w:val="00637EB8"/>
    <w:rsid w:val="0064009D"/>
    <w:rsid w:val="00653CBF"/>
    <w:rsid w:val="006736CA"/>
    <w:rsid w:val="006B35A6"/>
    <w:rsid w:val="00715607"/>
    <w:rsid w:val="007432EE"/>
    <w:rsid w:val="007459FF"/>
    <w:rsid w:val="007564AB"/>
    <w:rsid w:val="00761E29"/>
    <w:rsid w:val="0078240D"/>
    <w:rsid w:val="007B2968"/>
    <w:rsid w:val="007C65B7"/>
    <w:rsid w:val="007D710E"/>
    <w:rsid w:val="007E3A31"/>
    <w:rsid w:val="0081287D"/>
    <w:rsid w:val="00842A1B"/>
    <w:rsid w:val="00883BC6"/>
    <w:rsid w:val="008A249C"/>
    <w:rsid w:val="008D12D8"/>
    <w:rsid w:val="00900ED3"/>
    <w:rsid w:val="00907557"/>
    <w:rsid w:val="009169D0"/>
    <w:rsid w:val="0092656C"/>
    <w:rsid w:val="00961EF5"/>
    <w:rsid w:val="00973312"/>
    <w:rsid w:val="009A1C16"/>
    <w:rsid w:val="009C5683"/>
    <w:rsid w:val="009F754F"/>
    <w:rsid w:val="00A11CE2"/>
    <w:rsid w:val="00A57401"/>
    <w:rsid w:val="00A73E0A"/>
    <w:rsid w:val="00AE19B6"/>
    <w:rsid w:val="00B538D3"/>
    <w:rsid w:val="00B65615"/>
    <w:rsid w:val="00B76EE8"/>
    <w:rsid w:val="00B953AA"/>
    <w:rsid w:val="00BB4D4E"/>
    <w:rsid w:val="00C03579"/>
    <w:rsid w:val="00C27F72"/>
    <w:rsid w:val="00C3352C"/>
    <w:rsid w:val="00C55807"/>
    <w:rsid w:val="00C82389"/>
    <w:rsid w:val="00C83A8C"/>
    <w:rsid w:val="00C931EC"/>
    <w:rsid w:val="00C958B3"/>
    <w:rsid w:val="00CA6BCC"/>
    <w:rsid w:val="00CA7824"/>
    <w:rsid w:val="00CC2688"/>
    <w:rsid w:val="00CF3C56"/>
    <w:rsid w:val="00D43AA8"/>
    <w:rsid w:val="00DA2973"/>
    <w:rsid w:val="00DC0BEC"/>
    <w:rsid w:val="00DE1D2B"/>
    <w:rsid w:val="00E01085"/>
    <w:rsid w:val="00E63E51"/>
    <w:rsid w:val="00E65A47"/>
    <w:rsid w:val="00E74525"/>
    <w:rsid w:val="00EB6F3A"/>
    <w:rsid w:val="00EB7FA5"/>
    <w:rsid w:val="00EC0619"/>
    <w:rsid w:val="00EC449A"/>
    <w:rsid w:val="00EC58EE"/>
    <w:rsid w:val="00EE6024"/>
    <w:rsid w:val="00EF037E"/>
    <w:rsid w:val="00F1120C"/>
    <w:rsid w:val="00F3730F"/>
    <w:rsid w:val="00F477E0"/>
    <w:rsid w:val="00F6173A"/>
    <w:rsid w:val="00F75403"/>
    <w:rsid w:val="00F8214B"/>
    <w:rsid w:val="00FD3ABD"/>
    <w:rsid w:val="00FD6CD4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879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222"/>
    <w:pPr>
      <w:jc w:val="both"/>
    </w:pPr>
    <w:rPr>
      <w:rFonts w:ascii="Times New Roman" w:eastAsia="Calibri" w:hAnsi="Times New Roman" w:cs="Times New Roman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6222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A6222"/>
  </w:style>
  <w:style w:type="paragraph" w:styleId="Rodap">
    <w:name w:val="footer"/>
    <w:basedOn w:val="Normal"/>
    <w:link w:val="RodapChar"/>
    <w:uiPriority w:val="99"/>
    <w:unhideWhenUsed/>
    <w:rsid w:val="004A6222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A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3154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Campinas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2017-03-04T20:17:00Z</dcterms:created>
  <dcterms:modified xsi:type="dcterms:W3CDTF">2017-03-04T20:17:00Z</dcterms:modified>
</cp:coreProperties>
</file>