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60F5" w14:textId="77777777" w:rsidR="00E24564" w:rsidRDefault="00686FA1" w:rsidP="002F1EA5">
      <w:pPr>
        <w:jc w:val="center"/>
        <w:rPr>
          <w:b/>
          <w:sz w:val="28"/>
          <w:lang w:val="en-US"/>
        </w:rPr>
      </w:pPr>
      <w:r w:rsidRPr="00686FA1">
        <w:rPr>
          <w:b/>
          <w:sz w:val="28"/>
          <w:lang w:val="en-US"/>
        </w:rPr>
        <w:t>Variants of EEG Functional Brain Con</w:t>
      </w:r>
      <w:r w:rsidR="00206963">
        <w:rPr>
          <w:b/>
          <w:sz w:val="28"/>
          <w:lang w:val="en-US"/>
        </w:rPr>
        <w:t>nectivity Evaluation Methods for BCI Motor Imagery</w:t>
      </w:r>
      <w:r w:rsidRPr="00686FA1">
        <w:rPr>
          <w:b/>
          <w:sz w:val="28"/>
          <w:lang w:val="en-US"/>
        </w:rPr>
        <w:t xml:space="preserve"> Classification</w:t>
      </w:r>
    </w:p>
    <w:p w14:paraId="549D9B2D" w14:textId="77777777" w:rsidR="002736E5" w:rsidRPr="002736E5" w:rsidRDefault="002736E5" w:rsidP="002F1EA5">
      <w:pPr>
        <w:jc w:val="center"/>
        <w:rPr>
          <w:sz w:val="10"/>
          <w:szCs w:val="10"/>
          <w:lang w:val="en-US"/>
        </w:rPr>
      </w:pPr>
    </w:p>
    <w:p w14:paraId="3D56F712" w14:textId="77777777" w:rsidR="002F1EA5" w:rsidRPr="003F2BC3" w:rsidRDefault="003F2BC3" w:rsidP="002F1EA5">
      <w:pPr>
        <w:jc w:val="center"/>
      </w:pPr>
      <w:r w:rsidRPr="003F2BC3">
        <w:t>P. G. Rodrigues</w:t>
      </w:r>
      <w:r w:rsidR="002F1EA5" w:rsidRPr="003F2BC3">
        <w:rPr>
          <w:vertAlign w:val="superscript"/>
        </w:rPr>
        <w:t>1</w:t>
      </w:r>
      <w:r w:rsidR="005259DA">
        <w:rPr>
          <w:vertAlign w:val="superscript"/>
        </w:rPr>
        <w:t>,4</w:t>
      </w:r>
      <w:r w:rsidR="002F1EA5" w:rsidRPr="003F2BC3">
        <w:t xml:space="preserve">, </w:t>
      </w:r>
      <w:r w:rsidRPr="003F2BC3">
        <w:t>C</w:t>
      </w:r>
      <w:r w:rsidR="002F1EA5" w:rsidRPr="003F2BC3">
        <w:t xml:space="preserve">. </w:t>
      </w:r>
      <w:r w:rsidRPr="003F2BC3">
        <w:t>A. Stefano Filho</w:t>
      </w:r>
      <w:r w:rsidR="005259DA" w:rsidRPr="005259DA">
        <w:rPr>
          <w:vertAlign w:val="superscript"/>
        </w:rPr>
        <w:t>2</w:t>
      </w:r>
      <w:r w:rsidR="005259DA">
        <w:rPr>
          <w:vertAlign w:val="superscript"/>
        </w:rPr>
        <w:t>,4</w:t>
      </w:r>
      <w:r w:rsidRPr="003F2BC3">
        <w:t>, R</w:t>
      </w:r>
      <w:r w:rsidR="002F1EA5" w:rsidRPr="003F2BC3">
        <w:t xml:space="preserve">. </w:t>
      </w:r>
      <w:r>
        <w:t>Attux</w:t>
      </w:r>
      <w:r w:rsidR="005259DA">
        <w:rPr>
          <w:vertAlign w:val="superscript"/>
        </w:rPr>
        <w:t>3,4</w:t>
      </w:r>
      <w:r w:rsidR="002F1EA5" w:rsidRPr="003F2BC3">
        <w:t xml:space="preserve">, </w:t>
      </w:r>
      <w:r>
        <w:t>G. Castellano</w:t>
      </w:r>
      <w:r w:rsidR="005259DA" w:rsidRPr="005259DA">
        <w:rPr>
          <w:vertAlign w:val="superscript"/>
        </w:rPr>
        <w:t>2</w:t>
      </w:r>
      <w:r w:rsidR="005259DA">
        <w:rPr>
          <w:vertAlign w:val="superscript"/>
        </w:rPr>
        <w:t>,4</w:t>
      </w:r>
      <w:r>
        <w:t>, D. C</w:t>
      </w:r>
      <w:r w:rsidR="002F1EA5" w:rsidRPr="003F2BC3">
        <w:t xml:space="preserve">. </w:t>
      </w:r>
      <w:r>
        <w:t>Soriano</w:t>
      </w:r>
      <w:r w:rsidR="005259DA">
        <w:rPr>
          <w:vertAlign w:val="superscript"/>
        </w:rPr>
        <w:t>1,4</w:t>
      </w:r>
    </w:p>
    <w:p w14:paraId="4C5152B1" w14:textId="77777777" w:rsidR="005259DA" w:rsidRDefault="002F1EA5" w:rsidP="002F1EA5">
      <w:pPr>
        <w:jc w:val="center"/>
        <w:rPr>
          <w:sz w:val="20"/>
          <w:lang w:val="en-US"/>
        </w:rPr>
      </w:pPr>
      <w:r w:rsidRPr="005259DA">
        <w:rPr>
          <w:sz w:val="20"/>
          <w:vertAlign w:val="superscript"/>
          <w:lang w:val="en-US"/>
        </w:rPr>
        <w:t>1</w:t>
      </w:r>
      <w:r w:rsidR="003F2BC3" w:rsidRPr="005259DA">
        <w:rPr>
          <w:sz w:val="20"/>
          <w:lang w:val="en-US"/>
        </w:rPr>
        <w:t>CECS</w:t>
      </w:r>
      <w:r w:rsidR="005259DA" w:rsidRPr="005259DA">
        <w:rPr>
          <w:sz w:val="20"/>
          <w:lang w:val="en-US"/>
        </w:rPr>
        <w:t>, U</w:t>
      </w:r>
      <w:r w:rsidR="005259DA">
        <w:rPr>
          <w:sz w:val="20"/>
          <w:lang w:val="en-US"/>
        </w:rPr>
        <w:t>FABC,</w:t>
      </w:r>
      <w:r w:rsidRPr="005259DA">
        <w:rPr>
          <w:sz w:val="20"/>
          <w:lang w:val="en-US"/>
        </w:rPr>
        <w:t xml:space="preserve"> </w:t>
      </w:r>
      <w:r w:rsidR="00263FB4" w:rsidRPr="005259DA">
        <w:rPr>
          <w:sz w:val="20"/>
          <w:vertAlign w:val="superscript"/>
          <w:lang w:val="en-US"/>
        </w:rPr>
        <w:t>2</w:t>
      </w:r>
      <w:r w:rsidR="005259DA" w:rsidRPr="005259DA">
        <w:rPr>
          <w:sz w:val="20"/>
          <w:lang w:val="en-US"/>
        </w:rPr>
        <w:t>Neurophysics Group, IFGW, UNICAMP</w:t>
      </w:r>
      <w:r w:rsidR="00263FB4" w:rsidRPr="005259DA">
        <w:rPr>
          <w:sz w:val="20"/>
          <w:lang w:val="en-US"/>
        </w:rPr>
        <w:t xml:space="preserve">, </w:t>
      </w:r>
      <w:r w:rsidR="00263FB4" w:rsidRPr="005259DA">
        <w:rPr>
          <w:sz w:val="20"/>
          <w:vertAlign w:val="superscript"/>
          <w:lang w:val="en-US"/>
        </w:rPr>
        <w:t>3</w:t>
      </w:r>
      <w:r w:rsidR="005259DA">
        <w:rPr>
          <w:sz w:val="20"/>
          <w:lang w:val="en-US"/>
        </w:rPr>
        <w:t xml:space="preserve">FEEC, UNICAMP, </w:t>
      </w:r>
    </w:p>
    <w:p w14:paraId="66DE3261" w14:textId="77777777" w:rsidR="00263FB4" w:rsidRDefault="005259DA" w:rsidP="002736E5">
      <w:pPr>
        <w:jc w:val="center"/>
        <w:rPr>
          <w:sz w:val="20"/>
          <w:lang w:val="en-US"/>
        </w:rPr>
      </w:pPr>
      <w:r w:rsidRPr="005259DA">
        <w:rPr>
          <w:sz w:val="20"/>
          <w:vertAlign w:val="superscript"/>
          <w:lang w:val="en-US"/>
        </w:rPr>
        <w:t>4</w:t>
      </w:r>
      <w:r w:rsidRPr="005259DA">
        <w:rPr>
          <w:sz w:val="20"/>
          <w:szCs w:val="20"/>
          <w:lang w:val="en-US"/>
        </w:rPr>
        <w:t>Brazilian Institute of Neuroscience and Neurotechnology (BRAINN), Campinas, SP, Brazil</w:t>
      </w:r>
    </w:p>
    <w:p w14:paraId="753FAA85" w14:textId="77777777" w:rsidR="002736E5" w:rsidRPr="002736E5" w:rsidRDefault="002736E5" w:rsidP="002736E5">
      <w:pPr>
        <w:jc w:val="center"/>
        <w:rPr>
          <w:sz w:val="20"/>
          <w:lang w:val="en-US"/>
        </w:rPr>
      </w:pPr>
    </w:p>
    <w:p w14:paraId="267DB71D" w14:textId="4EA298A7" w:rsidR="00686FA1" w:rsidRPr="009070F8" w:rsidRDefault="00263FB4" w:rsidP="00686FA1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642E3D">
        <w:rPr>
          <w:lang w:val="en-US"/>
        </w:rPr>
        <w:t>Brain-</w:t>
      </w:r>
      <w:r w:rsidR="00206963">
        <w:rPr>
          <w:lang w:val="en-US"/>
        </w:rPr>
        <w:t xml:space="preserve">computer interfaces (BCIs) not only provide </w:t>
      </w:r>
      <w:r w:rsidR="00686FA1">
        <w:rPr>
          <w:lang w:val="en-US"/>
        </w:rPr>
        <w:t xml:space="preserve">alternative means </w:t>
      </w:r>
      <w:r w:rsidR="00686FA1" w:rsidRPr="009070F8">
        <w:rPr>
          <w:lang w:val="en-US"/>
        </w:rPr>
        <w:t>for controlling</w:t>
      </w:r>
      <w:r w:rsidR="00686FA1">
        <w:rPr>
          <w:lang w:val="en-US"/>
        </w:rPr>
        <w:t xml:space="preserve"> </w:t>
      </w:r>
      <w:r w:rsidR="00686FA1" w:rsidRPr="009070F8">
        <w:rPr>
          <w:lang w:val="en-US"/>
        </w:rPr>
        <w:t xml:space="preserve">assistive devices, </w:t>
      </w:r>
      <w:r w:rsidR="002736E5" w:rsidRPr="009070F8">
        <w:rPr>
          <w:lang w:val="en-US"/>
        </w:rPr>
        <w:t>but also allow</w:t>
      </w:r>
      <w:r w:rsidR="00206963" w:rsidRPr="009070F8">
        <w:rPr>
          <w:lang w:val="en-US"/>
        </w:rPr>
        <w:t xml:space="preserve"> means </w:t>
      </w:r>
      <w:r w:rsidR="00686FA1" w:rsidRPr="009070F8">
        <w:rPr>
          <w:lang w:val="en-US"/>
        </w:rPr>
        <w:t xml:space="preserve">for a better understanding of neuronal mechanisms underlying different cognitive tasks. </w:t>
      </w:r>
      <w:r w:rsidR="00206963" w:rsidRPr="009070F8">
        <w:rPr>
          <w:lang w:val="en-US"/>
        </w:rPr>
        <w:t xml:space="preserve">This work </w:t>
      </w:r>
      <w:r w:rsidR="00206963" w:rsidRPr="007F3D2A">
        <w:rPr>
          <w:lang w:val="en-US"/>
        </w:rPr>
        <w:t xml:space="preserve">presents </w:t>
      </w:r>
      <w:r w:rsidR="00686FA1" w:rsidRPr="007F3D2A">
        <w:rPr>
          <w:lang w:val="en-US"/>
        </w:rPr>
        <w:t xml:space="preserve">a </w:t>
      </w:r>
      <w:r w:rsidR="00037F15" w:rsidRPr="007F3D2A">
        <w:rPr>
          <w:lang w:val="en-US"/>
        </w:rPr>
        <w:t xml:space="preserve">BCI </w:t>
      </w:r>
      <w:r w:rsidR="00686FA1" w:rsidRPr="007F3D2A">
        <w:rPr>
          <w:lang w:val="en-US"/>
        </w:rPr>
        <w:t xml:space="preserve">performance </w:t>
      </w:r>
      <w:r w:rsidR="00686FA1" w:rsidRPr="009070F8">
        <w:rPr>
          <w:lang w:val="en-US"/>
        </w:rPr>
        <w:t>comparison between t</w:t>
      </w:r>
      <w:r w:rsidR="00220F79" w:rsidRPr="009070F8">
        <w:rPr>
          <w:lang w:val="en-US"/>
        </w:rPr>
        <w:t>wo</w:t>
      </w:r>
      <w:r w:rsidR="00686FA1" w:rsidRPr="009070F8">
        <w:rPr>
          <w:lang w:val="en-US"/>
        </w:rPr>
        <w:t xml:space="preserve"> different approaches</w:t>
      </w:r>
      <w:r w:rsidR="00037F15">
        <w:rPr>
          <w:lang w:val="en-US"/>
        </w:rPr>
        <w:t xml:space="preserve"> for feature generation, based on</w:t>
      </w:r>
      <w:r w:rsidR="00686FA1" w:rsidRPr="009070F8">
        <w:rPr>
          <w:lang w:val="en-US"/>
        </w:rPr>
        <w:t xml:space="preserve"> brain functional connectivity</w:t>
      </w:r>
      <w:r w:rsidR="00037F15">
        <w:rPr>
          <w:lang w:val="en-US"/>
        </w:rPr>
        <w:t>.</w:t>
      </w:r>
      <w:r w:rsidR="00D81756" w:rsidRPr="009070F8">
        <w:rPr>
          <w:color w:val="000000"/>
          <w:szCs w:val="24"/>
          <w:lang w:val="en-GB"/>
        </w:rPr>
        <w:t xml:space="preserve"> </w:t>
      </w:r>
      <w:r w:rsidR="00037F15">
        <w:rPr>
          <w:lang w:val="en-US"/>
        </w:rPr>
        <w:t>Connectivity was represented</w:t>
      </w:r>
      <w:r w:rsidR="00037F15" w:rsidRPr="009070F8">
        <w:rPr>
          <w:lang w:val="en-US"/>
        </w:rPr>
        <w:t xml:space="preserve"> </w:t>
      </w:r>
      <w:r w:rsidR="00686FA1" w:rsidRPr="009070F8">
        <w:rPr>
          <w:lang w:val="en-US"/>
        </w:rPr>
        <w:t xml:space="preserve">by an adjacency matrix </w:t>
      </w:r>
      <w:r w:rsidR="00302851" w:rsidRPr="009070F8">
        <w:rPr>
          <w:lang w:val="en-US"/>
        </w:rPr>
        <w:t>(</w:t>
      </w:r>
      <w:r w:rsidR="00302851" w:rsidRPr="009070F8">
        <w:rPr>
          <w:b/>
          <w:lang w:val="en-US"/>
        </w:rPr>
        <w:t>A</w:t>
      </w:r>
      <w:r w:rsidR="00302851" w:rsidRPr="009070F8">
        <w:rPr>
          <w:lang w:val="en-US"/>
        </w:rPr>
        <w:t>)</w:t>
      </w:r>
      <w:r w:rsidR="00037F15">
        <w:rPr>
          <w:lang w:val="en-US"/>
        </w:rPr>
        <w:t>,</w:t>
      </w:r>
      <w:r w:rsidR="00302851" w:rsidRPr="009070F8">
        <w:rPr>
          <w:lang w:val="en-US"/>
        </w:rPr>
        <w:t xml:space="preserve"> </w:t>
      </w:r>
      <w:r w:rsidR="00E83C15" w:rsidRPr="009070F8">
        <w:rPr>
          <w:lang w:val="en-US"/>
        </w:rPr>
        <w:t>built by</w:t>
      </w:r>
      <w:r w:rsidR="002736E5" w:rsidRPr="009070F8">
        <w:rPr>
          <w:lang w:val="en-US"/>
        </w:rPr>
        <w:t xml:space="preserve"> considering</w:t>
      </w:r>
      <w:r w:rsidR="00E83C15" w:rsidRPr="009070F8">
        <w:rPr>
          <w:lang w:val="en-US"/>
        </w:rPr>
        <w:t xml:space="preserve"> similarities between</w:t>
      </w:r>
      <w:r w:rsidR="002736E5" w:rsidRPr="009070F8">
        <w:rPr>
          <w:lang w:val="en-US"/>
        </w:rPr>
        <w:t xml:space="preserve"> all pairs of electrodes</w:t>
      </w:r>
      <w:r w:rsidR="00686FA1" w:rsidRPr="009070F8">
        <w:rPr>
          <w:lang w:val="en-US"/>
        </w:rPr>
        <w:t xml:space="preserve"> under BCI motor imagery (MI) tasks recorded by EEG.</w:t>
      </w:r>
    </w:p>
    <w:p w14:paraId="3FE6A4AF" w14:textId="77777777" w:rsidR="00263FB4" w:rsidRPr="009070F8" w:rsidRDefault="00263FB4" w:rsidP="00686FA1">
      <w:pPr>
        <w:rPr>
          <w:sz w:val="16"/>
          <w:szCs w:val="16"/>
          <w:lang w:val="en-US"/>
        </w:rPr>
      </w:pPr>
    </w:p>
    <w:p w14:paraId="0E489C8D" w14:textId="29A00493" w:rsidR="00263FB4" w:rsidRDefault="00263FB4" w:rsidP="00686FA1">
      <w:pPr>
        <w:rPr>
          <w:lang w:val="en-US"/>
        </w:rPr>
      </w:pPr>
      <w:r w:rsidRPr="009070F8">
        <w:rPr>
          <w:b/>
          <w:lang w:val="en-US"/>
        </w:rPr>
        <w:t>Materials and Methods:</w:t>
      </w:r>
      <w:r w:rsidRPr="009070F8">
        <w:rPr>
          <w:lang w:val="en-US"/>
        </w:rPr>
        <w:t xml:space="preserve"> </w:t>
      </w:r>
      <w:r w:rsidR="00E83C15" w:rsidRPr="009070F8">
        <w:rPr>
          <w:lang w:val="en-US"/>
        </w:rPr>
        <w:t>A four-</w:t>
      </w:r>
      <w:r w:rsidR="00686FA1" w:rsidRPr="009070F8">
        <w:rPr>
          <w:lang w:val="en-US"/>
        </w:rPr>
        <w:t>command motor imagery database containing training and testing datasets for nine subjects (</w:t>
      </w:r>
      <w:r w:rsidR="007D7DD0" w:rsidRPr="009070F8">
        <w:rPr>
          <w:lang w:val="en-US"/>
        </w:rPr>
        <w:t>BCI comp</w:t>
      </w:r>
      <w:r w:rsidR="00686FA1" w:rsidRPr="009070F8">
        <w:rPr>
          <w:lang w:val="en-US"/>
        </w:rPr>
        <w:t>eti</w:t>
      </w:r>
      <w:r w:rsidR="007D7DD0" w:rsidRPr="009070F8">
        <w:rPr>
          <w:lang w:val="en-US"/>
        </w:rPr>
        <w:t>ti</w:t>
      </w:r>
      <w:r w:rsidR="00D81756" w:rsidRPr="009070F8">
        <w:rPr>
          <w:lang w:val="en-US"/>
        </w:rPr>
        <w:t>on IV</w:t>
      </w:r>
      <w:r w:rsidR="00302851" w:rsidRPr="009070F8">
        <w:rPr>
          <w:lang w:val="en-US"/>
        </w:rPr>
        <w:t xml:space="preserve"> </w:t>
      </w:r>
      <w:r w:rsidR="005E673F" w:rsidRPr="009070F8">
        <w:rPr>
          <w:lang w:val="en-US"/>
        </w:rPr>
        <w:t>– dataset 2a</w:t>
      </w:r>
      <w:r w:rsidR="00D81756" w:rsidRPr="009070F8">
        <w:rPr>
          <w:lang w:val="en-US"/>
        </w:rPr>
        <w:t xml:space="preserve"> </w:t>
      </w:r>
      <w:r w:rsidR="003A0522" w:rsidRPr="009070F8">
        <w:rPr>
          <w:lang w:val="en-US"/>
        </w:rPr>
        <w:t>[1]</w:t>
      </w:r>
      <w:r w:rsidR="003A0522" w:rsidRPr="009070F8">
        <w:rPr>
          <w:lang w:val="en-US"/>
        </w:rPr>
        <w:fldChar w:fldCharType="begin" w:fldLock="1"/>
      </w:r>
      <w:r w:rsidR="003A0522" w:rsidRPr="009070F8">
        <w:rPr>
          <w:lang w:val="en-US"/>
        </w:rPr>
        <w:instrText>ADDIN CSL_CITATION { "citationItems" : [ { "id" : "ITEM-1", "itemData" : { "URL" : "http://www.bbci.de/competition/iv/", "accessed" : { "date-parts" : [ [ "2017", "1", "6" ] ] }, "author" : [ { "dropping-particle" : "", "family" : "Blankertz", "given" : "Benjamin", "non-dropping-particle" : "", "parse-names" : false, "suffix" : "" } ], "id" : "ITEM-1", "issued" : { "date-parts" : [ [ "2008" ] ] }, "title" : "BCI Competition IV", "type" : "webpage" }, "uris" : [ "http://www.mendeley.com/documents/?uuid=b8983735-7048-4064-9b06-c1e54a9a05d7"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="003A0522" w:rsidRPr="009070F8">
        <w:rPr>
          <w:lang w:val="en-US"/>
        </w:rPr>
        <w:fldChar w:fldCharType="end"/>
      </w:r>
      <w:r w:rsidR="00206963" w:rsidRPr="009070F8">
        <w:rPr>
          <w:lang w:val="en-US"/>
        </w:rPr>
        <w:t>) was analyzed</w:t>
      </w:r>
      <w:r w:rsidR="00686FA1" w:rsidRPr="009070F8">
        <w:rPr>
          <w:lang w:val="en-US"/>
        </w:rPr>
        <w:t xml:space="preserve">. </w:t>
      </w:r>
      <w:r w:rsidR="00206963" w:rsidRPr="009070F8">
        <w:rPr>
          <w:lang w:val="en-US"/>
        </w:rPr>
        <w:t>F</w:t>
      </w:r>
      <w:r w:rsidR="00686FA1" w:rsidRPr="009070F8">
        <w:rPr>
          <w:lang w:val="en-US"/>
        </w:rPr>
        <w:t>unctional connectivity was estimated by considering t</w:t>
      </w:r>
      <w:r w:rsidR="00220F79" w:rsidRPr="009070F8">
        <w:rPr>
          <w:lang w:val="en-US"/>
        </w:rPr>
        <w:t>wo</w:t>
      </w:r>
      <w:r w:rsidR="00686FA1" w:rsidRPr="009070F8">
        <w:rPr>
          <w:lang w:val="en-US"/>
        </w:rPr>
        <w:t xml:space="preserve"> different similarity measures between the electrodes</w:t>
      </w:r>
      <w:r w:rsidR="00206963" w:rsidRPr="009070F8">
        <w:rPr>
          <w:lang w:val="en-US"/>
        </w:rPr>
        <w:t xml:space="preserve"> for obtaining </w:t>
      </w:r>
      <w:r w:rsidR="00206963" w:rsidRPr="009070F8">
        <w:rPr>
          <w:b/>
          <w:lang w:val="en-US"/>
        </w:rPr>
        <w:t>A</w:t>
      </w:r>
      <w:r w:rsidR="00686FA1" w:rsidRPr="009070F8">
        <w:rPr>
          <w:lang w:val="en-US"/>
        </w:rPr>
        <w:t>: 1) Pearson correlation; 2)</w:t>
      </w:r>
      <w:r w:rsidR="00302851" w:rsidRPr="009070F8">
        <w:rPr>
          <w:lang w:val="en-US"/>
        </w:rPr>
        <w:t xml:space="preserve"> Space-Time recurrence (</w:t>
      </w:r>
      <w:proofErr w:type="spellStart"/>
      <w:proofErr w:type="gramStart"/>
      <w:r w:rsidR="00302851" w:rsidRPr="009070F8">
        <w:rPr>
          <w:lang w:val="en-US"/>
        </w:rPr>
        <w:t>STr</w:t>
      </w:r>
      <w:proofErr w:type="spellEnd"/>
      <w:proofErr w:type="gramEnd"/>
      <w:r w:rsidR="00302851" w:rsidRPr="009070F8">
        <w:rPr>
          <w:lang w:val="en-US"/>
        </w:rPr>
        <w:t xml:space="preserve">) </w:t>
      </w:r>
      <w:r w:rsidR="00220F79" w:rsidRPr="009070F8">
        <w:rPr>
          <w:lang w:val="en-US"/>
        </w:rPr>
        <w:t>counting</w:t>
      </w:r>
      <w:r w:rsidR="00206963" w:rsidRPr="009070F8">
        <w:rPr>
          <w:lang w:val="en-US"/>
        </w:rPr>
        <w:t>. Feature extraction was</w:t>
      </w:r>
      <w:r w:rsidR="00686FA1" w:rsidRPr="009070F8">
        <w:rPr>
          <w:lang w:val="en-US"/>
        </w:rPr>
        <w:t xml:space="preserve"> perfor</w:t>
      </w:r>
      <w:r w:rsidR="00642E3D">
        <w:rPr>
          <w:lang w:val="en-US"/>
        </w:rPr>
        <w:t>med considering classical graph</w:t>
      </w:r>
      <w:r w:rsidR="00686FA1" w:rsidRPr="009070F8">
        <w:rPr>
          <w:lang w:val="en-US"/>
        </w:rPr>
        <w:t xml:space="preserve"> metrics:</w:t>
      </w:r>
      <w:r w:rsidR="00EE089D" w:rsidRPr="009070F8">
        <w:rPr>
          <w:lang w:val="en-US"/>
        </w:rPr>
        <w:t xml:space="preserve"> </w:t>
      </w:r>
      <w:r w:rsidR="006F0DE2" w:rsidRPr="009070F8">
        <w:rPr>
          <w:lang w:val="en-US"/>
        </w:rPr>
        <w:t xml:space="preserve">degree, </w:t>
      </w:r>
      <w:r w:rsidR="00EE089D" w:rsidRPr="009070F8">
        <w:rPr>
          <w:lang w:val="en-US"/>
        </w:rPr>
        <w:t xml:space="preserve">clustering coefficient, </w:t>
      </w:r>
      <w:r w:rsidR="006F0DE2" w:rsidRPr="009070F8">
        <w:rPr>
          <w:lang w:val="en-US"/>
        </w:rPr>
        <w:t xml:space="preserve">betweenness </w:t>
      </w:r>
      <w:r w:rsidR="00EE089D" w:rsidRPr="009070F8">
        <w:rPr>
          <w:lang w:val="en-US"/>
        </w:rPr>
        <w:t>and</w:t>
      </w:r>
      <w:r w:rsidR="006F0DE2" w:rsidRPr="009070F8">
        <w:rPr>
          <w:lang w:val="en-US"/>
        </w:rPr>
        <w:t xml:space="preserve"> eigenvector centralit</w:t>
      </w:r>
      <w:r w:rsidR="00EE089D" w:rsidRPr="009070F8">
        <w:rPr>
          <w:lang w:val="en-US"/>
        </w:rPr>
        <w:t>ies</w:t>
      </w:r>
      <w:r w:rsidR="006F0DE2" w:rsidRPr="009070F8">
        <w:rPr>
          <w:lang w:val="en-US"/>
        </w:rPr>
        <w:t>.</w:t>
      </w:r>
      <w:r w:rsidR="000C7FE2" w:rsidRPr="009070F8">
        <w:rPr>
          <w:lang w:val="en-US"/>
        </w:rPr>
        <w:t xml:space="preserve"> </w:t>
      </w:r>
      <w:r w:rsidR="00E83C15" w:rsidRPr="009070F8">
        <w:rPr>
          <w:lang w:val="en-US"/>
        </w:rPr>
        <w:t>A l</w:t>
      </w:r>
      <w:r w:rsidR="00686FA1" w:rsidRPr="009070F8">
        <w:rPr>
          <w:lang w:val="en-US"/>
        </w:rPr>
        <w:t>east squares</w:t>
      </w:r>
      <w:r w:rsidR="00686FA1">
        <w:rPr>
          <w:lang w:val="en-US"/>
        </w:rPr>
        <w:t xml:space="preserve"> (LS) classifier was used</w:t>
      </w:r>
      <w:r w:rsidR="00206963">
        <w:rPr>
          <w:lang w:val="en-US"/>
        </w:rPr>
        <w:t xml:space="preserve"> and the</w:t>
      </w:r>
      <w:r w:rsidR="00686FA1">
        <w:rPr>
          <w:lang w:val="en-US"/>
        </w:rPr>
        <w:t xml:space="preserve"> classification </w:t>
      </w:r>
      <w:r w:rsidR="00206963">
        <w:rPr>
          <w:lang w:val="en-US"/>
        </w:rPr>
        <w:t xml:space="preserve">error was obtained based on </w:t>
      </w:r>
      <w:r w:rsidR="007D7DD0">
        <w:rPr>
          <w:lang w:val="en-US"/>
        </w:rPr>
        <w:t xml:space="preserve">training and </w:t>
      </w:r>
      <w:r w:rsidR="00206963">
        <w:rPr>
          <w:lang w:val="en-US"/>
        </w:rPr>
        <w:t xml:space="preserve">testing datasets </w:t>
      </w:r>
      <w:r w:rsidR="007D7DD0">
        <w:rPr>
          <w:lang w:val="en-US"/>
        </w:rPr>
        <w:t xml:space="preserve">as </w:t>
      </w:r>
      <w:r w:rsidR="004B231D">
        <w:rPr>
          <w:lang w:val="en-US"/>
        </w:rPr>
        <w:t xml:space="preserve">defined </w:t>
      </w:r>
      <w:r w:rsidR="00206963">
        <w:rPr>
          <w:lang w:val="en-US"/>
        </w:rPr>
        <w:t>in [1]</w:t>
      </w:r>
      <w:r w:rsidR="00686FA1">
        <w:rPr>
          <w:lang w:val="en-US"/>
        </w:rPr>
        <w:t>.</w:t>
      </w:r>
    </w:p>
    <w:p w14:paraId="12AA91EF" w14:textId="77777777" w:rsidR="00686FA1" w:rsidRPr="009070F8" w:rsidRDefault="00686FA1" w:rsidP="00686FA1">
      <w:pPr>
        <w:rPr>
          <w:sz w:val="16"/>
          <w:szCs w:val="16"/>
          <w:lang w:val="en-US"/>
        </w:rPr>
      </w:pPr>
    </w:p>
    <w:p w14:paraId="34AD46F5" w14:textId="27B049B7" w:rsidR="00686FA1" w:rsidRDefault="00263FB4" w:rsidP="00686FA1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7D7DD0">
        <w:rPr>
          <w:lang w:val="en-US"/>
        </w:rPr>
        <w:t xml:space="preserve">Table 1 shows the </w:t>
      </w:r>
      <w:r w:rsidR="003F2BC3">
        <w:rPr>
          <w:lang w:val="en-US"/>
        </w:rPr>
        <w:t xml:space="preserve">classification </w:t>
      </w:r>
      <w:r w:rsidR="007D7DD0">
        <w:rPr>
          <w:lang w:val="en-US"/>
        </w:rPr>
        <w:t xml:space="preserve">error for the best pair </w:t>
      </w:r>
      <w:r w:rsidR="003F2BC3">
        <w:rPr>
          <w:lang w:val="en-US"/>
        </w:rPr>
        <w:t>and also all classes using P</w:t>
      </w:r>
      <w:r w:rsidR="007D7DD0">
        <w:rPr>
          <w:lang w:val="en-US"/>
        </w:rPr>
        <w:t>e</w:t>
      </w:r>
      <w:r w:rsidR="003F2BC3">
        <w:rPr>
          <w:lang w:val="en-US"/>
        </w:rPr>
        <w:t>a</w:t>
      </w:r>
      <w:r w:rsidR="007D7DD0">
        <w:rPr>
          <w:lang w:val="en-US"/>
        </w:rPr>
        <w:t>rson correl</w:t>
      </w:r>
      <w:r w:rsidR="004B231D">
        <w:rPr>
          <w:lang w:val="en-US"/>
        </w:rPr>
        <w:t>ati</w:t>
      </w:r>
      <w:r w:rsidR="00302851">
        <w:rPr>
          <w:lang w:val="en-US"/>
        </w:rPr>
        <w:t>on</w:t>
      </w:r>
      <w:r w:rsidR="003F2BC3">
        <w:rPr>
          <w:lang w:val="en-US"/>
        </w:rPr>
        <w:t xml:space="preserve"> </w:t>
      </w:r>
      <w:r w:rsidR="007D7DD0">
        <w:rPr>
          <w:lang w:val="en-US"/>
        </w:rPr>
        <w:t>and the space-time recurrences.</w:t>
      </w:r>
    </w:p>
    <w:p w14:paraId="7687E344" w14:textId="77777777" w:rsidR="002736E5" w:rsidRPr="002736E5" w:rsidRDefault="002736E5" w:rsidP="00686FA1">
      <w:pPr>
        <w:rPr>
          <w:sz w:val="16"/>
          <w:szCs w:val="16"/>
          <w:lang w:val="en-US"/>
        </w:rPr>
      </w:pPr>
    </w:p>
    <w:p w14:paraId="5626A5BB" w14:textId="77777777" w:rsidR="007D7DD0" w:rsidRPr="00302851" w:rsidRDefault="00686FA1" w:rsidP="00686FA1">
      <w:pPr>
        <w:rPr>
          <w:sz w:val="22"/>
          <w:lang w:val="en-US"/>
        </w:rPr>
      </w:pPr>
      <w:r w:rsidRPr="00302851">
        <w:rPr>
          <w:sz w:val="22"/>
          <w:lang w:val="en-US"/>
        </w:rPr>
        <w:t>Table 1:</w:t>
      </w:r>
      <w:r w:rsidR="005E673F" w:rsidRPr="00302851">
        <w:rPr>
          <w:sz w:val="22"/>
          <w:lang w:val="en-US"/>
        </w:rPr>
        <w:t xml:space="preserve"> </w:t>
      </w:r>
      <w:r w:rsidR="00B62E1C" w:rsidRPr="00302851">
        <w:rPr>
          <w:sz w:val="22"/>
          <w:lang w:val="en-US"/>
        </w:rPr>
        <w:t>C</w:t>
      </w:r>
      <w:r w:rsidR="005E673F" w:rsidRPr="00302851">
        <w:rPr>
          <w:sz w:val="22"/>
          <w:lang w:val="en-US"/>
        </w:rPr>
        <w:t xml:space="preserve">lassification performance for the best pair </w:t>
      </w:r>
      <w:r w:rsidR="00405762" w:rsidRPr="00302851">
        <w:rPr>
          <w:sz w:val="22"/>
          <w:lang w:val="en-US"/>
        </w:rPr>
        <w:t xml:space="preserve">of classes </w:t>
      </w:r>
      <w:r w:rsidR="005E673F" w:rsidRPr="00302851">
        <w:rPr>
          <w:sz w:val="22"/>
          <w:lang w:val="en-US"/>
        </w:rPr>
        <w:t xml:space="preserve">and </w:t>
      </w:r>
      <w:r w:rsidR="00B62E1C" w:rsidRPr="00302851">
        <w:rPr>
          <w:sz w:val="22"/>
          <w:lang w:val="en-US"/>
        </w:rPr>
        <w:t xml:space="preserve">for </w:t>
      </w:r>
      <w:r w:rsidR="005E673F" w:rsidRPr="00302851">
        <w:rPr>
          <w:sz w:val="22"/>
          <w:lang w:val="en-US"/>
        </w:rPr>
        <w:t xml:space="preserve">all classes considering Pearson correlation and </w:t>
      </w:r>
      <w:proofErr w:type="spellStart"/>
      <w:r w:rsidR="00302851" w:rsidRPr="00302851">
        <w:rPr>
          <w:sz w:val="22"/>
          <w:lang w:val="en-US"/>
        </w:rPr>
        <w:t>STr</w:t>
      </w:r>
      <w:proofErr w:type="spellEnd"/>
      <w:r w:rsidR="005E673F" w:rsidRPr="00302851">
        <w:rPr>
          <w:sz w:val="22"/>
          <w:lang w:val="en-US"/>
        </w:rPr>
        <w:t xml:space="preserve"> similarity measures. Classes: 1</w:t>
      </w:r>
      <w:r w:rsidR="00D81756" w:rsidRPr="00302851">
        <w:rPr>
          <w:sz w:val="22"/>
          <w:lang w:val="en-US"/>
        </w:rPr>
        <w:t xml:space="preserve">: </w:t>
      </w:r>
      <w:r w:rsidR="006F0DE2" w:rsidRPr="00302851">
        <w:rPr>
          <w:sz w:val="22"/>
          <w:lang w:val="en-US"/>
        </w:rPr>
        <w:t>left hand</w:t>
      </w:r>
      <w:r w:rsidR="005E673F" w:rsidRPr="00302851">
        <w:rPr>
          <w:sz w:val="22"/>
          <w:lang w:val="en-US"/>
        </w:rPr>
        <w:t>; 2</w:t>
      </w:r>
      <w:r w:rsidR="00D81756" w:rsidRPr="00302851">
        <w:rPr>
          <w:sz w:val="22"/>
          <w:lang w:val="en-US"/>
        </w:rPr>
        <w:t>:</w:t>
      </w:r>
      <w:r w:rsidR="005E673F" w:rsidRPr="00302851">
        <w:rPr>
          <w:sz w:val="22"/>
          <w:lang w:val="en-US"/>
        </w:rPr>
        <w:t xml:space="preserve"> </w:t>
      </w:r>
      <w:r w:rsidR="006F0DE2" w:rsidRPr="00302851">
        <w:rPr>
          <w:sz w:val="22"/>
          <w:lang w:val="en-US"/>
        </w:rPr>
        <w:t>right hand</w:t>
      </w:r>
      <w:r w:rsidR="005E673F" w:rsidRPr="00302851">
        <w:rPr>
          <w:sz w:val="22"/>
          <w:lang w:val="en-US"/>
        </w:rPr>
        <w:t>; 3</w:t>
      </w:r>
      <w:r w:rsidR="00D81756" w:rsidRPr="00302851">
        <w:rPr>
          <w:sz w:val="22"/>
          <w:lang w:val="en-US"/>
        </w:rPr>
        <w:t>:</w:t>
      </w:r>
      <w:r w:rsidR="005E673F" w:rsidRPr="00302851">
        <w:rPr>
          <w:sz w:val="22"/>
          <w:lang w:val="en-US"/>
        </w:rPr>
        <w:t xml:space="preserve"> </w:t>
      </w:r>
      <w:r w:rsidR="006F0DE2" w:rsidRPr="00302851">
        <w:rPr>
          <w:sz w:val="22"/>
          <w:lang w:val="en-US"/>
        </w:rPr>
        <w:t>feet</w:t>
      </w:r>
      <w:r w:rsidR="00D81756" w:rsidRPr="00302851">
        <w:rPr>
          <w:sz w:val="22"/>
          <w:lang w:val="en-US"/>
        </w:rPr>
        <w:t>; 4:</w:t>
      </w:r>
      <w:r w:rsidR="005E673F" w:rsidRPr="00302851">
        <w:rPr>
          <w:sz w:val="22"/>
          <w:lang w:val="en-US"/>
        </w:rPr>
        <w:t xml:space="preserve"> </w:t>
      </w:r>
      <w:r w:rsidR="006F0DE2" w:rsidRPr="00302851">
        <w:rPr>
          <w:sz w:val="22"/>
          <w:lang w:val="en-US"/>
        </w:rPr>
        <w:t>tongue</w:t>
      </w:r>
      <w:r w:rsidR="005E673F" w:rsidRPr="00302851">
        <w:rPr>
          <w:sz w:val="22"/>
          <w:lang w:val="en-US"/>
        </w:rPr>
        <w:t>; µ ± σ: mean ± standard deviation.</w:t>
      </w:r>
      <w:r w:rsidR="003F2BC3" w:rsidRPr="00302851">
        <w:rPr>
          <w:sz w:val="22"/>
          <w:lang w:val="en-US"/>
        </w:rPr>
        <w:t xml:space="preserve"> Graph edges were defined by a correlation threshold (ρ) or by a distance threshold (ε) and counting threshold </w:t>
      </w:r>
      <w:r w:rsidR="00302851" w:rsidRPr="00302851">
        <w:rPr>
          <w:sz w:val="22"/>
          <w:lang w:val="en-US"/>
        </w:rPr>
        <w:t xml:space="preserve">(ψ) for </w:t>
      </w:r>
      <w:proofErr w:type="spellStart"/>
      <w:r w:rsidR="00302851" w:rsidRPr="00302851">
        <w:rPr>
          <w:sz w:val="22"/>
          <w:lang w:val="en-US"/>
        </w:rPr>
        <w:t>STr</w:t>
      </w:r>
      <w:r w:rsidR="003F2BC3" w:rsidRPr="00302851">
        <w:rPr>
          <w:sz w:val="22"/>
          <w:lang w:val="en-US"/>
        </w:rPr>
        <w:t>.</w:t>
      </w:r>
      <w:proofErr w:type="spellEnd"/>
    </w:p>
    <w:p w14:paraId="23B0E4DB" w14:textId="77777777" w:rsidR="007D7DD0" w:rsidRPr="0062447D" w:rsidRDefault="007D7DD0" w:rsidP="00686FA1">
      <w:pPr>
        <w:rPr>
          <w:sz w:val="4"/>
          <w:szCs w:val="16"/>
          <w:lang w:val="en-US"/>
        </w:rPr>
      </w:pPr>
    </w:p>
    <w:tbl>
      <w:tblPr>
        <w:tblStyle w:val="Tabelacomgrade"/>
        <w:tblW w:w="0" w:type="auto"/>
        <w:jc w:val="center"/>
        <w:tblInd w:w="-483" w:type="dxa"/>
        <w:tblLook w:val="04A0" w:firstRow="1" w:lastRow="0" w:firstColumn="1" w:lastColumn="0" w:noHBand="0" w:noVBand="1"/>
      </w:tblPr>
      <w:tblGrid>
        <w:gridCol w:w="1042"/>
        <w:gridCol w:w="2502"/>
        <w:gridCol w:w="1559"/>
        <w:gridCol w:w="2552"/>
        <w:gridCol w:w="1830"/>
      </w:tblGrid>
      <w:tr w:rsidR="00686FA1" w:rsidRPr="00D26878" w14:paraId="63CFE13C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54486AF1" w14:textId="77777777" w:rsidR="00686FA1" w:rsidRPr="00E07A76" w:rsidRDefault="00686FA1" w:rsidP="00586AB9">
            <w:pPr>
              <w:ind w:left="-113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793B8108" w14:textId="77777777" w:rsidR="00686FA1" w:rsidRPr="00E07A76" w:rsidRDefault="00686FA1" w:rsidP="006D0466">
            <w:pPr>
              <w:ind w:left="-113"/>
              <w:jc w:val="center"/>
              <w:rPr>
                <w:b/>
                <w:szCs w:val="24"/>
                <w:lang w:val="en-US"/>
              </w:rPr>
            </w:pPr>
            <w:r w:rsidRPr="00E07A76">
              <w:rPr>
                <w:b/>
                <w:szCs w:val="24"/>
                <w:lang w:val="en-US"/>
              </w:rPr>
              <w:t>Pe</w:t>
            </w:r>
            <w:r w:rsidR="003F2BC3">
              <w:rPr>
                <w:b/>
                <w:szCs w:val="24"/>
                <w:lang w:val="en-US"/>
              </w:rPr>
              <w:t>a</w:t>
            </w:r>
            <w:r w:rsidRPr="00E07A76">
              <w:rPr>
                <w:b/>
                <w:szCs w:val="24"/>
                <w:lang w:val="en-US"/>
              </w:rPr>
              <w:t>rson</w:t>
            </w:r>
            <w:r w:rsidR="00ED0721" w:rsidRPr="00E07A76">
              <w:rPr>
                <w:b/>
                <w:szCs w:val="24"/>
                <w:lang w:val="en-US"/>
              </w:rPr>
              <w:t xml:space="preserve"> </w:t>
            </w:r>
            <w:r w:rsidR="00B10AE6">
              <w:rPr>
                <w:b/>
                <w:szCs w:val="24"/>
                <w:lang w:val="en-US"/>
              </w:rPr>
              <w:t>C</w:t>
            </w:r>
            <w:r w:rsidR="00B10AE6" w:rsidRPr="00B10AE6">
              <w:rPr>
                <w:b/>
                <w:szCs w:val="24"/>
                <w:lang w:val="en-US"/>
              </w:rPr>
              <w:t xml:space="preserve">orrelation </w:t>
            </w:r>
            <w:r w:rsidR="00ED0721" w:rsidRPr="00E07A76">
              <w:rPr>
                <w:b/>
                <w:szCs w:val="24"/>
                <w:lang w:val="en-US"/>
              </w:rPr>
              <w:t>(</w:t>
            </w:r>
            <w:r w:rsidR="004B231D">
              <w:rPr>
                <w:b/>
                <w:szCs w:val="24"/>
                <w:lang w:val="en-US"/>
              </w:rPr>
              <w:t xml:space="preserve">ρ = </w:t>
            </w:r>
            <w:r w:rsidR="00ED0721" w:rsidRPr="00E07A76">
              <w:rPr>
                <w:b/>
                <w:szCs w:val="24"/>
                <w:lang w:val="en-US"/>
              </w:rPr>
              <w:t>0.</w:t>
            </w:r>
            <w:r w:rsidR="006D0466">
              <w:rPr>
                <w:b/>
                <w:szCs w:val="24"/>
                <w:lang w:val="en-US"/>
              </w:rPr>
              <w:t>78</w:t>
            </w:r>
            <w:r w:rsidR="00ED0721" w:rsidRPr="00E07A76">
              <w:rPr>
                <w:b/>
                <w:szCs w:val="24"/>
                <w:lang w:val="en-US"/>
              </w:rPr>
              <w:t>)</w:t>
            </w:r>
          </w:p>
        </w:tc>
        <w:tc>
          <w:tcPr>
            <w:tcW w:w="4382" w:type="dxa"/>
            <w:gridSpan w:val="2"/>
            <w:vAlign w:val="center"/>
          </w:tcPr>
          <w:p w14:paraId="7AD1F5CE" w14:textId="77777777" w:rsidR="00686FA1" w:rsidRPr="00E07A76" w:rsidRDefault="00686FA1" w:rsidP="006D0466">
            <w:pPr>
              <w:ind w:left="-113" w:right="-137"/>
              <w:jc w:val="center"/>
              <w:rPr>
                <w:b/>
                <w:szCs w:val="24"/>
                <w:lang w:val="en-US"/>
              </w:rPr>
            </w:pPr>
            <w:r w:rsidRPr="00E07A76">
              <w:rPr>
                <w:b/>
                <w:szCs w:val="24"/>
                <w:lang w:val="en-US"/>
              </w:rPr>
              <w:t>Space-Time Recurrence</w:t>
            </w:r>
            <w:r w:rsidR="004B231D">
              <w:rPr>
                <w:b/>
                <w:szCs w:val="24"/>
                <w:lang w:val="en-US"/>
              </w:rPr>
              <w:t xml:space="preserve"> (</w:t>
            </w:r>
            <w:r w:rsidR="004B231D">
              <w:rPr>
                <w:lang w:val="en-US"/>
              </w:rPr>
              <w:t>ε, ψ</w:t>
            </w:r>
            <w:r w:rsidR="004B231D">
              <w:rPr>
                <w:b/>
                <w:szCs w:val="24"/>
                <w:lang w:val="en-US"/>
              </w:rPr>
              <w:t xml:space="preserve">) </w:t>
            </w:r>
            <w:r w:rsidR="004B231D" w:rsidRPr="006F0DE2">
              <w:rPr>
                <w:b/>
                <w:szCs w:val="24"/>
                <w:lang w:val="en-US"/>
              </w:rPr>
              <w:t>= (</w:t>
            </w:r>
            <w:r w:rsidR="006F0DE2" w:rsidRPr="006F0DE2">
              <w:rPr>
                <w:b/>
                <w:szCs w:val="24"/>
                <w:lang w:val="en-US"/>
              </w:rPr>
              <w:t>1</w:t>
            </w:r>
            <w:r w:rsidR="006D0466">
              <w:rPr>
                <w:b/>
                <w:szCs w:val="24"/>
                <w:lang w:val="en-US"/>
              </w:rPr>
              <w:t>.3</w:t>
            </w:r>
            <w:r w:rsidR="004B231D" w:rsidRPr="006F0DE2">
              <w:rPr>
                <w:b/>
                <w:szCs w:val="24"/>
                <w:lang w:val="en-US"/>
              </w:rPr>
              <w:t xml:space="preserve">, </w:t>
            </w:r>
            <w:r w:rsidR="006F0DE2" w:rsidRPr="006F0DE2">
              <w:rPr>
                <w:b/>
                <w:szCs w:val="24"/>
                <w:lang w:val="en-US"/>
              </w:rPr>
              <w:t>0.</w:t>
            </w:r>
            <w:r w:rsidR="006D0466">
              <w:rPr>
                <w:b/>
                <w:szCs w:val="24"/>
                <w:lang w:val="en-US"/>
              </w:rPr>
              <w:t>5</w:t>
            </w:r>
            <w:r w:rsidR="004B231D" w:rsidRPr="006F0DE2">
              <w:rPr>
                <w:b/>
                <w:szCs w:val="24"/>
                <w:lang w:val="en-US"/>
              </w:rPr>
              <w:t>)</w:t>
            </w:r>
          </w:p>
        </w:tc>
      </w:tr>
      <w:tr w:rsidR="00686FA1" w:rsidRPr="006D0466" w14:paraId="280C4E9A" w14:textId="77777777" w:rsidTr="00037F15">
        <w:trPr>
          <w:trHeight w:val="260"/>
          <w:jc w:val="center"/>
        </w:trPr>
        <w:tc>
          <w:tcPr>
            <w:tcW w:w="1042" w:type="dxa"/>
            <w:vAlign w:val="center"/>
          </w:tcPr>
          <w:p w14:paraId="3900AF50" w14:textId="77777777" w:rsidR="00686FA1" w:rsidRPr="00E07A76" w:rsidRDefault="00686FA1" w:rsidP="00586AB9">
            <w:pPr>
              <w:ind w:left="-113" w:right="-58"/>
              <w:jc w:val="center"/>
              <w:rPr>
                <w:b/>
                <w:szCs w:val="24"/>
                <w:lang w:val="en-US"/>
              </w:rPr>
            </w:pPr>
            <w:r w:rsidRPr="00E07A76">
              <w:rPr>
                <w:b/>
                <w:szCs w:val="24"/>
                <w:lang w:val="en-US"/>
              </w:rPr>
              <w:t>Subject</w:t>
            </w:r>
          </w:p>
        </w:tc>
        <w:tc>
          <w:tcPr>
            <w:tcW w:w="2502" w:type="dxa"/>
            <w:vAlign w:val="center"/>
          </w:tcPr>
          <w:p w14:paraId="6A5254D8" w14:textId="77777777" w:rsidR="00686FA1" w:rsidRPr="00E07A76" w:rsidRDefault="00686FA1" w:rsidP="00586AB9">
            <w:pPr>
              <w:ind w:left="-113" w:right="-108"/>
              <w:jc w:val="center"/>
              <w:rPr>
                <w:b/>
                <w:szCs w:val="24"/>
                <w:lang w:val="en-US"/>
              </w:rPr>
            </w:pPr>
            <w:r w:rsidRPr="00E07A76">
              <w:rPr>
                <w:b/>
                <w:szCs w:val="24"/>
                <w:lang w:val="en-US"/>
              </w:rPr>
              <w:t>Best Pair</w:t>
            </w:r>
            <w:r w:rsidR="005A19DF" w:rsidRPr="00E07A76">
              <w:rPr>
                <w:b/>
                <w:szCs w:val="24"/>
                <w:lang w:val="en-US"/>
              </w:rPr>
              <w:t xml:space="preserve"> (</w:t>
            </w:r>
            <w:r w:rsidR="00BD6431">
              <w:rPr>
                <w:b/>
                <w:szCs w:val="24"/>
                <w:lang w:val="en-US"/>
              </w:rPr>
              <w:t>x</w:t>
            </w:r>
            <w:r w:rsidR="005A19DF" w:rsidRPr="00E07A76">
              <w:rPr>
                <w:b/>
                <w:szCs w:val="24"/>
                <w:lang w:val="en-US"/>
              </w:rPr>
              <w:t>/</w:t>
            </w:r>
            <w:r w:rsidR="00BD6431">
              <w:rPr>
                <w:b/>
                <w:szCs w:val="24"/>
                <w:lang w:val="en-US"/>
              </w:rPr>
              <w:t>y</w:t>
            </w:r>
            <w:r w:rsidR="005A19DF" w:rsidRPr="00E07A76">
              <w:rPr>
                <w:b/>
                <w:szCs w:val="24"/>
                <w:lang w:val="en-US"/>
              </w:rPr>
              <w:t>)</w:t>
            </w:r>
            <w:r w:rsidR="00BD6431">
              <w:rPr>
                <w:b/>
                <w:szCs w:val="24"/>
                <w:lang w:val="en-US"/>
              </w:rPr>
              <w:t xml:space="preserve"> </w:t>
            </w:r>
            <w:r w:rsidR="00302851">
              <w:rPr>
                <w:b/>
                <w:szCs w:val="24"/>
                <w:lang w:val="en-US"/>
              </w:rPr>
              <w:t>–</w:t>
            </w:r>
            <w:r w:rsidR="00BD6431">
              <w:rPr>
                <w:b/>
                <w:szCs w:val="24"/>
                <w:lang w:val="en-US"/>
              </w:rPr>
              <w:t xml:space="preserve"> error</w:t>
            </w:r>
          </w:p>
        </w:tc>
        <w:tc>
          <w:tcPr>
            <w:tcW w:w="1559" w:type="dxa"/>
            <w:vAlign w:val="center"/>
          </w:tcPr>
          <w:p w14:paraId="738DD8ED" w14:textId="77777777" w:rsidR="00686FA1" w:rsidRPr="00E07A76" w:rsidRDefault="00686FA1" w:rsidP="00586AB9">
            <w:pPr>
              <w:ind w:left="-113" w:right="-108"/>
              <w:jc w:val="center"/>
              <w:rPr>
                <w:b/>
                <w:szCs w:val="24"/>
                <w:lang w:val="en-US"/>
              </w:rPr>
            </w:pPr>
            <w:r w:rsidRPr="00E07A76">
              <w:rPr>
                <w:b/>
                <w:szCs w:val="24"/>
                <w:lang w:val="en-US"/>
              </w:rPr>
              <w:t>All Classes</w:t>
            </w:r>
          </w:p>
        </w:tc>
        <w:tc>
          <w:tcPr>
            <w:tcW w:w="2552" w:type="dxa"/>
            <w:vAlign w:val="center"/>
          </w:tcPr>
          <w:p w14:paraId="23C802F8" w14:textId="77777777" w:rsidR="00686FA1" w:rsidRPr="00E07A76" w:rsidRDefault="00686FA1" w:rsidP="00D81756">
            <w:pPr>
              <w:ind w:left="-113" w:right="-108"/>
              <w:jc w:val="center"/>
              <w:rPr>
                <w:b/>
                <w:szCs w:val="24"/>
                <w:lang w:val="en-US"/>
              </w:rPr>
            </w:pPr>
            <w:r w:rsidRPr="00E07A76">
              <w:rPr>
                <w:b/>
                <w:szCs w:val="24"/>
                <w:lang w:val="en-US"/>
              </w:rPr>
              <w:t>Best Pair</w:t>
            </w:r>
            <w:r w:rsidR="00BD6431">
              <w:rPr>
                <w:b/>
                <w:szCs w:val="24"/>
                <w:lang w:val="en-US"/>
              </w:rPr>
              <w:t xml:space="preserve"> (x/y</w:t>
            </w:r>
            <w:r w:rsidR="005A19DF" w:rsidRPr="00E07A76">
              <w:rPr>
                <w:b/>
                <w:szCs w:val="24"/>
                <w:lang w:val="en-US"/>
              </w:rPr>
              <w:t>)</w:t>
            </w:r>
            <w:r w:rsidR="00BD6431">
              <w:rPr>
                <w:b/>
                <w:szCs w:val="24"/>
                <w:lang w:val="en-US"/>
              </w:rPr>
              <w:t xml:space="preserve"> </w:t>
            </w:r>
            <w:r w:rsidR="00D81756">
              <w:rPr>
                <w:b/>
                <w:szCs w:val="24"/>
                <w:lang w:val="en-US"/>
              </w:rPr>
              <w:t>-</w:t>
            </w:r>
            <w:r w:rsidR="00BD6431">
              <w:rPr>
                <w:b/>
                <w:szCs w:val="24"/>
                <w:lang w:val="en-US"/>
              </w:rPr>
              <w:t xml:space="preserve"> error</w:t>
            </w:r>
          </w:p>
        </w:tc>
        <w:tc>
          <w:tcPr>
            <w:tcW w:w="1830" w:type="dxa"/>
            <w:vAlign w:val="center"/>
          </w:tcPr>
          <w:p w14:paraId="4B26BC22" w14:textId="77777777" w:rsidR="00686FA1" w:rsidRPr="00E07A76" w:rsidRDefault="00686FA1" w:rsidP="00586AB9">
            <w:pPr>
              <w:ind w:left="-113" w:right="-163"/>
              <w:jc w:val="center"/>
              <w:rPr>
                <w:b/>
                <w:szCs w:val="24"/>
                <w:lang w:val="en-US"/>
              </w:rPr>
            </w:pPr>
            <w:r w:rsidRPr="00E07A76">
              <w:rPr>
                <w:b/>
                <w:szCs w:val="24"/>
                <w:lang w:val="en-US"/>
              </w:rPr>
              <w:t>All Classes</w:t>
            </w:r>
          </w:p>
        </w:tc>
      </w:tr>
      <w:tr w:rsidR="006D0466" w:rsidRPr="006D0466" w14:paraId="3134C528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7B303326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S1</w:t>
            </w:r>
          </w:p>
        </w:tc>
        <w:tc>
          <w:tcPr>
            <w:tcW w:w="2502" w:type="dxa"/>
            <w:vAlign w:val="center"/>
          </w:tcPr>
          <w:p w14:paraId="03272468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201</w:t>
            </w:r>
          </w:p>
        </w:tc>
        <w:tc>
          <w:tcPr>
            <w:tcW w:w="1559" w:type="dxa"/>
            <w:vAlign w:val="center"/>
          </w:tcPr>
          <w:p w14:paraId="0FAC56F7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552</w:t>
            </w:r>
          </w:p>
        </w:tc>
        <w:tc>
          <w:tcPr>
            <w:tcW w:w="2552" w:type="dxa"/>
          </w:tcPr>
          <w:p w14:paraId="61910983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(2/4)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146</w:t>
            </w:r>
          </w:p>
        </w:tc>
        <w:tc>
          <w:tcPr>
            <w:tcW w:w="1830" w:type="dxa"/>
            <w:vAlign w:val="center"/>
          </w:tcPr>
          <w:p w14:paraId="1426D7E2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507</w:t>
            </w:r>
          </w:p>
        </w:tc>
      </w:tr>
      <w:tr w:rsidR="006D0466" w14:paraId="11AA555D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507C5105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S2</w:t>
            </w:r>
          </w:p>
        </w:tc>
        <w:tc>
          <w:tcPr>
            <w:tcW w:w="2502" w:type="dxa"/>
            <w:vAlign w:val="center"/>
          </w:tcPr>
          <w:p w14:paraId="4C3CFD37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(1/2)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424</w:t>
            </w:r>
          </w:p>
        </w:tc>
        <w:tc>
          <w:tcPr>
            <w:tcW w:w="1559" w:type="dxa"/>
            <w:vAlign w:val="center"/>
          </w:tcPr>
          <w:p w14:paraId="5ACAFCFF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715</w:t>
            </w:r>
          </w:p>
        </w:tc>
        <w:tc>
          <w:tcPr>
            <w:tcW w:w="2552" w:type="dxa"/>
          </w:tcPr>
          <w:p w14:paraId="3858B08F" w14:textId="77777777" w:rsidR="006D0466" w:rsidRPr="006D0466" w:rsidRDefault="006D0466" w:rsidP="006D0466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>(</w:t>
            </w:r>
            <w:r>
              <w:rPr>
                <w:szCs w:val="24"/>
              </w:rPr>
              <w:t>1/3) –</w:t>
            </w:r>
            <w:r w:rsidRPr="006D0466">
              <w:rPr>
                <w:szCs w:val="24"/>
              </w:rPr>
              <w:t xml:space="preserve"> 0</w:t>
            </w:r>
            <w:r>
              <w:rPr>
                <w:szCs w:val="24"/>
              </w:rPr>
              <w:t>.</w:t>
            </w:r>
            <w:r w:rsidRPr="006D0466">
              <w:rPr>
                <w:szCs w:val="24"/>
              </w:rPr>
              <w:t>389</w:t>
            </w:r>
          </w:p>
        </w:tc>
        <w:tc>
          <w:tcPr>
            <w:tcW w:w="1830" w:type="dxa"/>
            <w:vAlign w:val="center"/>
          </w:tcPr>
          <w:p w14:paraId="3D7A2355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632</w:t>
            </w:r>
          </w:p>
        </w:tc>
      </w:tr>
      <w:tr w:rsidR="006D0466" w14:paraId="2C0382C0" w14:textId="77777777" w:rsidTr="00037F15">
        <w:trPr>
          <w:trHeight w:val="293"/>
          <w:jc w:val="center"/>
        </w:trPr>
        <w:tc>
          <w:tcPr>
            <w:tcW w:w="1042" w:type="dxa"/>
            <w:vAlign w:val="center"/>
          </w:tcPr>
          <w:p w14:paraId="4E999053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S3</w:t>
            </w:r>
          </w:p>
        </w:tc>
        <w:tc>
          <w:tcPr>
            <w:tcW w:w="2502" w:type="dxa"/>
            <w:vAlign w:val="center"/>
          </w:tcPr>
          <w:p w14:paraId="74429B30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306</w:t>
            </w:r>
          </w:p>
        </w:tc>
        <w:tc>
          <w:tcPr>
            <w:tcW w:w="1559" w:type="dxa"/>
            <w:vAlign w:val="center"/>
          </w:tcPr>
          <w:p w14:paraId="3A4874E0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559</w:t>
            </w:r>
          </w:p>
        </w:tc>
        <w:tc>
          <w:tcPr>
            <w:tcW w:w="2552" w:type="dxa"/>
          </w:tcPr>
          <w:p w14:paraId="08B899B5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>(2/4</w:t>
            </w:r>
            <w:r>
              <w:rPr>
                <w:szCs w:val="24"/>
              </w:rPr>
              <w:t>) 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153</w:t>
            </w:r>
          </w:p>
        </w:tc>
        <w:tc>
          <w:tcPr>
            <w:tcW w:w="1830" w:type="dxa"/>
            <w:vAlign w:val="center"/>
          </w:tcPr>
          <w:p w14:paraId="2CED708C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483</w:t>
            </w:r>
          </w:p>
        </w:tc>
      </w:tr>
      <w:tr w:rsidR="006D0466" w14:paraId="68DFE9B5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1DBBDC10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S4</w:t>
            </w:r>
          </w:p>
        </w:tc>
        <w:tc>
          <w:tcPr>
            <w:tcW w:w="2502" w:type="dxa"/>
            <w:vAlign w:val="center"/>
          </w:tcPr>
          <w:p w14:paraId="4AF62342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(2/3)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368</w:t>
            </w:r>
          </w:p>
        </w:tc>
        <w:tc>
          <w:tcPr>
            <w:tcW w:w="1559" w:type="dxa"/>
            <w:vAlign w:val="center"/>
          </w:tcPr>
          <w:p w14:paraId="5FB385D3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590</w:t>
            </w:r>
          </w:p>
        </w:tc>
        <w:tc>
          <w:tcPr>
            <w:tcW w:w="2552" w:type="dxa"/>
          </w:tcPr>
          <w:p w14:paraId="0521CA3F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(1/3)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292</w:t>
            </w:r>
          </w:p>
        </w:tc>
        <w:tc>
          <w:tcPr>
            <w:tcW w:w="1830" w:type="dxa"/>
            <w:vAlign w:val="center"/>
          </w:tcPr>
          <w:p w14:paraId="7C587726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601</w:t>
            </w:r>
          </w:p>
        </w:tc>
      </w:tr>
      <w:tr w:rsidR="006D0466" w14:paraId="3BBAA9F5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7115BD29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S5</w:t>
            </w:r>
          </w:p>
        </w:tc>
        <w:tc>
          <w:tcPr>
            <w:tcW w:w="2502" w:type="dxa"/>
            <w:vAlign w:val="center"/>
          </w:tcPr>
          <w:p w14:paraId="6A06CA20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(2/4)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451</w:t>
            </w:r>
          </w:p>
        </w:tc>
        <w:tc>
          <w:tcPr>
            <w:tcW w:w="1559" w:type="dxa"/>
            <w:vAlign w:val="center"/>
          </w:tcPr>
          <w:p w14:paraId="21850DC3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719</w:t>
            </w:r>
          </w:p>
        </w:tc>
        <w:tc>
          <w:tcPr>
            <w:tcW w:w="2552" w:type="dxa"/>
          </w:tcPr>
          <w:p w14:paraId="086DA70B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(2/3)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410</w:t>
            </w:r>
          </w:p>
        </w:tc>
        <w:tc>
          <w:tcPr>
            <w:tcW w:w="1830" w:type="dxa"/>
            <w:vAlign w:val="center"/>
          </w:tcPr>
          <w:p w14:paraId="71AE031F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722</w:t>
            </w:r>
          </w:p>
        </w:tc>
      </w:tr>
      <w:tr w:rsidR="006D0466" w14:paraId="756EB625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0316F2DA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S6</w:t>
            </w:r>
          </w:p>
        </w:tc>
        <w:tc>
          <w:tcPr>
            <w:tcW w:w="2502" w:type="dxa"/>
            <w:vAlign w:val="center"/>
          </w:tcPr>
          <w:p w14:paraId="226F3651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(3/4)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410</w:t>
            </w:r>
          </w:p>
        </w:tc>
        <w:tc>
          <w:tcPr>
            <w:tcW w:w="1559" w:type="dxa"/>
            <w:vAlign w:val="center"/>
          </w:tcPr>
          <w:p w14:paraId="1F837FD8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729</w:t>
            </w:r>
          </w:p>
        </w:tc>
        <w:tc>
          <w:tcPr>
            <w:tcW w:w="2552" w:type="dxa"/>
          </w:tcPr>
          <w:p w14:paraId="12CC57B7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403</w:t>
            </w:r>
          </w:p>
        </w:tc>
        <w:tc>
          <w:tcPr>
            <w:tcW w:w="1830" w:type="dxa"/>
            <w:vAlign w:val="center"/>
          </w:tcPr>
          <w:p w14:paraId="444DBD94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691</w:t>
            </w:r>
          </w:p>
        </w:tc>
      </w:tr>
      <w:tr w:rsidR="006D0466" w14:paraId="48339698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334EB269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S7</w:t>
            </w:r>
          </w:p>
        </w:tc>
        <w:tc>
          <w:tcPr>
            <w:tcW w:w="2502" w:type="dxa"/>
            <w:vAlign w:val="center"/>
          </w:tcPr>
          <w:p w14:paraId="6D1F417B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(2/4)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389</w:t>
            </w:r>
          </w:p>
        </w:tc>
        <w:tc>
          <w:tcPr>
            <w:tcW w:w="1559" w:type="dxa"/>
            <w:vAlign w:val="center"/>
          </w:tcPr>
          <w:p w14:paraId="631FF5A1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733</w:t>
            </w:r>
          </w:p>
        </w:tc>
        <w:tc>
          <w:tcPr>
            <w:tcW w:w="2552" w:type="dxa"/>
          </w:tcPr>
          <w:p w14:paraId="5C1F1BB2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(3/4)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278</w:t>
            </w:r>
          </w:p>
        </w:tc>
        <w:tc>
          <w:tcPr>
            <w:tcW w:w="1830" w:type="dxa"/>
            <w:vAlign w:val="center"/>
          </w:tcPr>
          <w:p w14:paraId="30765F52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629</w:t>
            </w:r>
          </w:p>
        </w:tc>
      </w:tr>
      <w:tr w:rsidR="006D0466" w14:paraId="1C203703" w14:textId="77777777" w:rsidTr="00037F15">
        <w:trPr>
          <w:trHeight w:val="278"/>
          <w:jc w:val="center"/>
        </w:trPr>
        <w:tc>
          <w:tcPr>
            <w:tcW w:w="1042" w:type="dxa"/>
            <w:vAlign w:val="center"/>
          </w:tcPr>
          <w:p w14:paraId="7E251BD5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S8</w:t>
            </w:r>
          </w:p>
        </w:tc>
        <w:tc>
          <w:tcPr>
            <w:tcW w:w="2502" w:type="dxa"/>
            <w:vAlign w:val="center"/>
          </w:tcPr>
          <w:p w14:paraId="70A9B9AE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306</w:t>
            </w:r>
          </w:p>
        </w:tc>
        <w:tc>
          <w:tcPr>
            <w:tcW w:w="1559" w:type="dxa"/>
            <w:vAlign w:val="center"/>
          </w:tcPr>
          <w:p w14:paraId="3A45396E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649</w:t>
            </w:r>
          </w:p>
        </w:tc>
        <w:tc>
          <w:tcPr>
            <w:tcW w:w="2552" w:type="dxa"/>
          </w:tcPr>
          <w:p w14:paraId="0CB8F620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(1/2)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188</w:t>
            </w:r>
          </w:p>
        </w:tc>
        <w:tc>
          <w:tcPr>
            <w:tcW w:w="1830" w:type="dxa"/>
            <w:vAlign w:val="center"/>
          </w:tcPr>
          <w:p w14:paraId="2EC6CFD7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504</w:t>
            </w:r>
          </w:p>
        </w:tc>
      </w:tr>
      <w:tr w:rsidR="006D0466" w14:paraId="5FA4C726" w14:textId="77777777" w:rsidTr="00037F15">
        <w:trPr>
          <w:trHeight w:val="72"/>
          <w:jc w:val="center"/>
        </w:trPr>
        <w:tc>
          <w:tcPr>
            <w:tcW w:w="1042" w:type="dxa"/>
            <w:vAlign w:val="center"/>
          </w:tcPr>
          <w:p w14:paraId="1AEB21A5" w14:textId="77777777" w:rsidR="006D0466" w:rsidRPr="00375C0C" w:rsidRDefault="006D0466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 w:rsidRPr="00375C0C">
              <w:rPr>
                <w:szCs w:val="24"/>
                <w:lang w:val="en-US"/>
              </w:rPr>
              <w:t>S9</w:t>
            </w:r>
          </w:p>
        </w:tc>
        <w:tc>
          <w:tcPr>
            <w:tcW w:w="2502" w:type="dxa"/>
            <w:vAlign w:val="center"/>
          </w:tcPr>
          <w:p w14:paraId="49766938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(3/4)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285</w:t>
            </w:r>
          </w:p>
        </w:tc>
        <w:tc>
          <w:tcPr>
            <w:tcW w:w="1559" w:type="dxa"/>
            <w:vAlign w:val="center"/>
          </w:tcPr>
          <w:p w14:paraId="5EAF5E9C" w14:textId="77777777" w:rsidR="006D0466" w:rsidRPr="006D0466" w:rsidRDefault="006D0466" w:rsidP="00037F15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587</w:t>
            </w:r>
          </w:p>
        </w:tc>
        <w:tc>
          <w:tcPr>
            <w:tcW w:w="2552" w:type="dxa"/>
          </w:tcPr>
          <w:p w14:paraId="08CD7BA3" w14:textId="77777777" w:rsidR="006D0466" w:rsidRPr="006D0466" w:rsidRDefault="006D0466" w:rsidP="00037F15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 xml:space="preserve">(1/4) </w:t>
            </w:r>
            <w:r>
              <w:rPr>
                <w:szCs w:val="24"/>
              </w:rPr>
              <w:t>–</w:t>
            </w:r>
            <w:r w:rsidRPr="006D0466">
              <w:rPr>
                <w:szCs w:val="24"/>
              </w:rPr>
              <w:t xml:space="preserve"> </w:t>
            </w:r>
            <w:r>
              <w:rPr>
                <w:szCs w:val="24"/>
              </w:rPr>
              <w:t>0.</w:t>
            </w:r>
            <w:r w:rsidRPr="006D0466">
              <w:rPr>
                <w:szCs w:val="24"/>
              </w:rPr>
              <w:t>153</w:t>
            </w:r>
          </w:p>
        </w:tc>
        <w:tc>
          <w:tcPr>
            <w:tcW w:w="1830" w:type="dxa"/>
            <w:vAlign w:val="center"/>
          </w:tcPr>
          <w:p w14:paraId="4E0CE472" w14:textId="77777777" w:rsidR="006D0466" w:rsidRPr="006D0466" w:rsidRDefault="006D0466" w:rsidP="00037F15">
            <w:pPr>
              <w:jc w:val="center"/>
              <w:rPr>
                <w:rFonts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Cs w:val="24"/>
                <w:lang w:eastAsia="pt-BR"/>
              </w:rPr>
              <w:t>0.</w:t>
            </w:r>
            <w:r w:rsidRPr="006D0466">
              <w:rPr>
                <w:rFonts w:eastAsia="Times New Roman"/>
                <w:color w:val="000000"/>
                <w:szCs w:val="24"/>
                <w:lang w:eastAsia="pt-BR"/>
              </w:rPr>
              <w:t>517</w:t>
            </w:r>
          </w:p>
        </w:tc>
      </w:tr>
      <w:tr w:rsidR="00EC2448" w14:paraId="1E8AF1C7" w14:textId="77777777" w:rsidTr="00037F15">
        <w:trPr>
          <w:trHeight w:val="72"/>
          <w:jc w:val="center"/>
        </w:trPr>
        <w:tc>
          <w:tcPr>
            <w:tcW w:w="1042" w:type="dxa"/>
            <w:vAlign w:val="center"/>
          </w:tcPr>
          <w:p w14:paraId="4F78DF8F" w14:textId="77777777" w:rsidR="00EC2448" w:rsidRPr="00375C0C" w:rsidRDefault="00EC2448" w:rsidP="00586AB9">
            <w:pPr>
              <w:ind w:left="-113" w:right="-58"/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µ ± σ</w:t>
            </w:r>
          </w:p>
        </w:tc>
        <w:tc>
          <w:tcPr>
            <w:tcW w:w="2502" w:type="dxa"/>
            <w:vAlign w:val="center"/>
          </w:tcPr>
          <w:p w14:paraId="6B255A39" w14:textId="77777777" w:rsidR="00EC2448" w:rsidRPr="006D0466" w:rsidRDefault="00EC2448" w:rsidP="00586AB9">
            <w:pPr>
              <w:ind w:left="-113" w:right="-108"/>
              <w:jc w:val="center"/>
              <w:rPr>
                <w:color w:val="000000"/>
                <w:szCs w:val="24"/>
              </w:rPr>
            </w:pPr>
            <w:r w:rsidRPr="006D0466">
              <w:rPr>
                <w:color w:val="000000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3031E6B" w14:textId="77777777" w:rsidR="00EC2448" w:rsidRPr="006D0466" w:rsidRDefault="006D0466" w:rsidP="006D0466">
            <w:pPr>
              <w:ind w:left="-113" w:right="-108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</w:t>
            </w:r>
            <w:r w:rsidRPr="006D0466">
              <w:rPr>
                <w:color w:val="000000"/>
                <w:szCs w:val="24"/>
              </w:rPr>
              <w:t>648±0</w:t>
            </w:r>
            <w:r>
              <w:rPr>
                <w:color w:val="000000"/>
                <w:szCs w:val="24"/>
              </w:rPr>
              <w:t>.</w:t>
            </w:r>
            <w:r w:rsidRPr="006D0466">
              <w:rPr>
                <w:color w:val="000000"/>
                <w:szCs w:val="24"/>
              </w:rPr>
              <w:t>077</w:t>
            </w:r>
          </w:p>
        </w:tc>
        <w:tc>
          <w:tcPr>
            <w:tcW w:w="2552" w:type="dxa"/>
            <w:vAlign w:val="center"/>
          </w:tcPr>
          <w:p w14:paraId="79B29CF3" w14:textId="77777777" w:rsidR="00EC2448" w:rsidRPr="006D0466" w:rsidRDefault="00EC2448" w:rsidP="00586AB9">
            <w:pPr>
              <w:ind w:left="-113" w:right="-108"/>
              <w:jc w:val="center"/>
              <w:rPr>
                <w:color w:val="000000"/>
                <w:szCs w:val="24"/>
              </w:rPr>
            </w:pPr>
            <w:r w:rsidRPr="006D0466">
              <w:rPr>
                <w:color w:val="000000"/>
                <w:szCs w:val="24"/>
              </w:rPr>
              <w:t>-</w:t>
            </w:r>
          </w:p>
        </w:tc>
        <w:tc>
          <w:tcPr>
            <w:tcW w:w="1830" w:type="dxa"/>
          </w:tcPr>
          <w:p w14:paraId="543C0B50" w14:textId="77777777" w:rsidR="00EC2448" w:rsidRPr="006D0466" w:rsidRDefault="006D0466" w:rsidP="006D0466">
            <w:pPr>
              <w:jc w:val="center"/>
              <w:rPr>
                <w:szCs w:val="24"/>
              </w:rPr>
            </w:pPr>
            <w:r w:rsidRPr="006D0466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Pr="006D0466">
              <w:rPr>
                <w:szCs w:val="24"/>
              </w:rPr>
              <w:t>587±0</w:t>
            </w:r>
            <w:r>
              <w:rPr>
                <w:szCs w:val="24"/>
              </w:rPr>
              <w:t>.</w:t>
            </w:r>
            <w:r w:rsidRPr="006D0466">
              <w:rPr>
                <w:szCs w:val="24"/>
              </w:rPr>
              <w:t>088</w:t>
            </w:r>
          </w:p>
        </w:tc>
      </w:tr>
    </w:tbl>
    <w:p w14:paraId="536A207B" w14:textId="77777777" w:rsidR="00263FB4" w:rsidRPr="009070F8" w:rsidRDefault="00263FB4" w:rsidP="00686FA1">
      <w:pPr>
        <w:rPr>
          <w:sz w:val="16"/>
          <w:szCs w:val="16"/>
          <w:lang w:val="en-US"/>
        </w:rPr>
      </w:pPr>
    </w:p>
    <w:p w14:paraId="296CE993" w14:textId="0E47F064" w:rsidR="00263FB4" w:rsidRPr="009070F8" w:rsidRDefault="00263FB4" w:rsidP="00263FB4">
      <w:pPr>
        <w:rPr>
          <w:color w:val="FF0000"/>
          <w:lang w:val="en-US"/>
        </w:rPr>
      </w:pPr>
      <w:r w:rsidRPr="00263FB4">
        <w:rPr>
          <w:b/>
          <w:lang w:val="en-US"/>
        </w:rPr>
        <w:t>Discussion</w:t>
      </w:r>
      <w:r w:rsidR="002736E5">
        <w:rPr>
          <w:b/>
          <w:lang w:val="en-US"/>
        </w:rPr>
        <w:t xml:space="preserve"> and </w:t>
      </w:r>
      <w:r w:rsidR="002736E5" w:rsidRPr="00263FB4">
        <w:rPr>
          <w:b/>
          <w:lang w:val="en-US"/>
        </w:rPr>
        <w:t>Conclusion</w:t>
      </w:r>
      <w:r w:rsidRPr="00263FB4">
        <w:rPr>
          <w:b/>
          <w:lang w:val="en-US"/>
        </w:rPr>
        <w:t>:</w:t>
      </w:r>
      <w:r>
        <w:rPr>
          <w:lang w:val="en-US"/>
        </w:rPr>
        <w:t xml:space="preserve"> The results </w:t>
      </w:r>
      <w:r w:rsidR="00BD6431">
        <w:rPr>
          <w:lang w:val="en-US"/>
        </w:rPr>
        <w:t xml:space="preserve">show that </w:t>
      </w:r>
      <w:r w:rsidR="00642E3D">
        <w:rPr>
          <w:lang w:val="en-US"/>
        </w:rPr>
        <w:t xml:space="preserve">it </w:t>
      </w:r>
      <w:r w:rsidR="00BD6431">
        <w:rPr>
          <w:lang w:val="en-US"/>
        </w:rPr>
        <w:t xml:space="preserve">is possible to use spatial recurrences between electrodes over a time window to compute similarity in order to obtain </w:t>
      </w:r>
      <w:r w:rsidR="00302851">
        <w:rPr>
          <w:lang w:val="en-US"/>
        </w:rPr>
        <w:t>the adjacency matrix</w:t>
      </w:r>
      <w:r w:rsidR="00BD6431">
        <w:rPr>
          <w:lang w:val="en-US"/>
        </w:rPr>
        <w:t xml:space="preserve">. However, it can be noted that different </w:t>
      </w:r>
      <w:r w:rsidR="00711996">
        <w:rPr>
          <w:lang w:val="en-US"/>
        </w:rPr>
        <w:t xml:space="preserve">approaches </w:t>
      </w:r>
      <w:r w:rsidR="00302851">
        <w:rPr>
          <w:lang w:val="en-US"/>
        </w:rPr>
        <w:t>can lead to</w:t>
      </w:r>
      <w:r w:rsidR="00711996">
        <w:rPr>
          <w:lang w:val="en-US"/>
        </w:rPr>
        <w:t xml:space="preserve"> possibly </w:t>
      </w:r>
      <w:r w:rsidR="00BD6431">
        <w:rPr>
          <w:lang w:val="en-US"/>
        </w:rPr>
        <w:t>dif</w:t>
      </w:r>
      <w:r w:rsidR="00711996">
        <w:rPr>
          <w:lang w:val="en-US"/>
        </w:rPr>
        <w:t xml:space="preserve">ferent pair of best classes </w:t>
      </w:r>
      <w:r w:rsidR="00EF7DA3">
        <w:rPr>
          <w:lang w:val="en-US"/>
        </w:rPr>
        <w:t>for the s</w:t>
      </w:r>
      <w:r w:rsidR="00711996">
        <w:rPr>
          <w:lang w:val="en-US"/>
        </w:rPr>
        <w:t xml:space="preserve">ame subject. In addition to that, </w:t>
      </w:r>
      <w:r w:rsidR="000577A3">
        <w:rPr>
          <w:lang w:val="en-US"/>
        </w:rPr>
        <w:t xml:space="preserve">the </w:t>
      </w:r>
      <w:proofErr w:type="spellStart"/>
      <w:proofErr w:type="gramStart"/>
      <w:r w:rsidR="00711996">
        <w:rPr>
          <w:lang w:val="en-US"/>
        </w:rPr>
        <w:t>S</w:t>
      </w:r>
      <w:r w:rsidR="00302851">
        <w:rPr>
          <w:lang w:val="en-US"/>
        </w:rPr>
        <w:t>Tr</w:t>
      </w:r>
      <w:proofErr w:type="spellEnd"/>
      <w:proofErr w:type="gramEnd"/>
      <w:r w:rsidR="00711996">
        <w:rPr>
          <w:lang w:val="en-US"/>
        </w:rPr>
        <w:t xml:space="preserve"> approach exhibited </w:t>
      </w:r>
      <w:r w:rsidR="00D81756">
        <w:rPr>
          <w:lang w:val="en-US"/>
        </w:rPr>
        <w:t xml:space="preserve">the </w:t>
      </w:r>
      <w:r w:rsidR="00711996">
        <w:rPr>
          <w:lang w:val="en-US"/>
        </w:rPr>
        <w:t>best performance considering the mean among all subjects using all tasks</w:t>
      </w:r>
      <w:r w:rsidR="00711996" w:rsidRPr="006F0DE2">
        <w:rPr>
          <w:color w:val="FF0000"/>
          <w:lang w:val="en-US"/>
        </w:rPr>
        <w:t xml:space="preserve"> </w:t>
      </w:r>
      <w:r w:rsidR="00711996" w:rsidRPr="00EE089D">
        <w:rPr>
          <w:lang w:val="en-US"/>
        </w:rPr>
        <w:t xml:space="preserve">(p = </w:t>
      </w:r>
      <w:r w:rsidR="006D0466" w:rsidRPr="006D0466">
        <w:rPr>
          <w:lang w:val="en-US"/>
        </w:rPr>
        <w:t>0</w:t>
      </w:r>
      <w:r w:rsidR="006D0466">
        <w:rPr>
          <w:lang w:val="en-US"/>
        </w:rPr>
        <w:t>.</w:t>
      </w:r>
      <w:r w:rsidR="006D0466" w:rsidRPr="006D0466">
        <w:rPr>
          <w:lang w:val="en-US"/>
        </w:rPr>
        <w:t xml:space="preserve">006 </w:t>
      </w:r>
      <w:r w:rsidR="00711996" w:rsidRPr="00EE089D">
        <w:rPr>
          <w:lang w:val="en-US"/>
        </w:rPr>
        <w:t>– paired</w:t>
      </w:r>
      <w:r w:rsidR="00711996" w:rsidRPr="006F0DE2">
        <w:rPr>
          <w:lang w:val="en-US"/>
        </w:rPr>
        <w:t xml:space="preserve"> t-test)</w:t>
      </w:r>
      <w:r w:rsidR="00302851">
        <w:rPr>
          <w:lang w:val="en-US"/>
        </w:rPr>
        <w:t xml:space="preserve"> and can be considered </w:t>
      </w:r>
      <w:r w:rsidR="00431CAC" w:rsidRPr="00431CAC">
        <w:rPr>
          <w:lang w:val="en-US"/>
        </w:rPr>
        <w:t xml:space="preserve">a </w:t>
      </w:r>
      <w:r w:rsidR="00E83C15" w:rsidRPr="009070F8">
        <w:rPr>
          <w:lang w:val="en-US"/>
        </w:rPr>
        <w:t>relevant</w:t>
      </w:r>
      <w:r w:rsidR="00431CAC" w:rsidRPr="009070F8">
        <w:rPr>
          <w:lang w:val="en-US"/>
        </w:rPr>
        <w:t xml:space="preserve"> alternative </w:t>
      </w:r>
      <w:r w:rsidR="002736E5" w:rsidRPr="009070F8">
        <w:rPr>
          <w:lang w:val="en-US"/>
        </w:rPr>
        <w:t>for measuring</w:t>
      </w:r>
      <w:r w:rsidR="00431CAC" w:rsidRPr="009070F8">
        <w:rPr>
          <w:lang w:val="en-US"/>
        </w:rPr>
        <w:t xml:space="preserve"> similarity</w:t>
      </w:r>
      <w:r w:rsidR="000C234C" w:rsidRPr="009070F8">
        <w:rPr>
          <w:lang w:val="en-US"/>
        </w:rPr>
        <w:t>.</w:t>
      </w:r>
    </w:p>
    <w:p w14:paraId="52496C8A" w14:textId="77777777" w:rsidR="005259DA" w:rsidRPr="009070F8" w:rsidRDefault="005259DA" w:rsidP="003F2BC3">
      <w:pPr>
        <w:rPr>
          <w:b/>
          <w:sz w:val="16"/>
          <w:szCs w:val="16"/>
          <w:lang w:val="en-US"/>
        </w:rPr>
      </w:pPr>
    </w:p>
    <w:p w14:paraId="65D5D68D" w14:textId="6F82F6EE" w:rsidR="003A0522" w:rsidRPr="009070F8" w:rsidRDefault="003A0522" w:rsidP="003F2BC3">
      <w:pPr>
        <w:rPr>
          <w:lang w:val="en-US"/>
        </w:rPr>
      </w:pPr>
      <w:r w:rsidRPr="009070F8">
        <w:rPr>
          <w:b/>
          <w:lang w:val="en-US"/>
        </w:rPr>
        <w:t xml:space="preserve">References: </w:t>
      </w:r>
      <w:r w:rsidRPr="009070F8">
        <w:rPr>
          <w:lang w:val="en-US"/>
        </w:rPr>
        <w:t xml:space="preserve">[1] </w:t>
      </w:r>
      <w:proofErr w:type="spellStart"/>
      <w:r w:rsidRPr="009070F8">
        <w:rPr>
          <w:lang w:val="en-US"/>
        </w:rPr>
        <w:t>Blankertz</w:t>
      </w:r>
      <w:proofErr w:type="spellEnd"/>
      <w:r w:rsidRPr="009070F8">
        <w:rPr>
          <w:lang w:val="en-US"/>
        </w:rPr>
        <w:t xml:space="preserve"> B, “BCI Competition IV”</w:t>
      </w:r>
      <w:r w:rsidR="00907D86" w:rsidRPr="009070F8">
        <w:rPr>
          <w:rFonts w:cs="Arial"/>
          <w:noProof/>
          <w:lang w:val="en-US"/>
        </w:rPr>
        <w:t xml:space="preserve"> [Internet].</w:t>
      </w:r>
      <w:r w:rsidRPr="009070F8">
        <w:rPr>
          <w:lang w:val="en-US"/>
        </w:rPr>
        <w:t xml:space="preserve"> 2008</w:t>
      </w:r>
      <w:r w:rsidR="00907D86" w:rsidRPr="009070F8">
        <w:rPr>
          <w:lang w:val="en-US"/>
        </w:rPr>
        <w:t xml:space="preserve"> </w:t>
      </w:r>
      <w:r w:rsidR="00907D86" w:rsidRPr="009070F8">
        <w:rPr>
          <w:rFonts w:cs="Arial"/>
          <w:noProof/>
          <w:lang w:val="en-US"/>
        </w:rPr>
        <w:t>[</w:t>
      </w:r>
      <w:r w:rsidR="00037F15">
        <w:rPr>
          <w:rFonts w:cs="Arial"/>
          <w:noProof/>
          <w:lang w:val="en-US"/>
        </w:rPr>
        <w:t>accessed</w:t>
      </w:r>
      <w:r w:rsidR="00037F15" w:rsidRPr="009070F8">
        <w:rPr>
          <w:rFonts w:cs="Arial"/>
          <w:noProof/>
          <w:lang w:val="en-US"/>
        </w:rPr>
        <w:t xml:space="preserve"> </w:t>
      </w:r>
      <w:r w:rsidR="00907D86" w:rsidRPr="009070F8">
        <w:rPr>
          <w:rFonts w:cs="Arial"/>
          <w:noProof/>
          <w:lang w:val="en-US"/>
        </w:rPr>
        <w:t>2017 Jan 6].</w:t>
      </w:r>
      <w:r w:rsidRPr="009070F8">
        <w:rPr>
          <w:lang w:val="en-US"/>
        </w:rPr>
        <w:t xml:space="preserve"> Available</w:t>
      </w:r>
      <w:r w:rsidR="00907D86" w:rsidRPr="009070F8">
        <w:rPr>
          <w:lang w:val="en-US"/>
        </w:rPr>
        <w:t xml:space="preserve"> from</w:t>
      </w:r>
      <w:r w:rsidRPr="009070F8">
        <w:rPr>
          <w:lang w:val="en-US"/>
        </w:rPr>
        <w:t xml:space="preserve">: </w:t>
      </w:r>
      <w:hyperlink r:id="rId8" w:history="1">
        <w:r w:rsidR="005259DA" w:rsidRPr="009070F8">
          <w:rPr>
            <w:rStyle w:val="Hyperlink"/>
            <w:lang w:val="en-US"/>
          </w:rPr>
          <w:t>http://www.bbci.de/competition/iv/</w:t>
        </w:r>
      </w:hyperlink>
      <w:r w:rsidR="00907D86" w:rsidRPr="009070F8">
        <w:rPr>
          <w:lang w:val="en-US"/>
        </w:rPr>
        <w:t>.</w:t>
      </w:r>
    </w:p>
    <w:p w14:paraId="5794D90E" w14:textId="77777777" w:rsidR="002736E5" w:rsidRPr="009070F8" w:rsidRDefault="002736E5" w:rsidP="003F2BC3">
      <w:pPr>
        <w:rPr>
          <w:b/>
          <w:sz w:val="20"/>
          <w:szCs w:val="20"/>
          <w:lang w:val="en-US"/>
        </w:rPr>
      </w:pPr>
    </w:p>
    <w:p w14:paraId="0457D544" w14:textId="4251513C" w:rsidR="005259DA" w:rsidRPr="00302851" w:rsidRDefault="005259DA" w:rsidP="003F2BC3">
      <w:pPr>
        <w:rPr>
          <w:szCs w:val="24"/>
          <w:lang w:val="en-US"/>
        </w:rPr>
      </w:pPr>
      <w:r w:rsidRPr="009070F8">
        <w:rPr>
          <w:b/>
          <w:szCs w:val="24"/>
          <w:lang w:val="en-US"/>
        </w:rPr>
        <w:t xml:space="preserve">Acknowledgement: </w:t>
      </w:r>
      <w:r w:rsidR="007C5CF9" w:rsidRPr="009070F8">
        <w:rPr>
          <w:szCs w:val="24"/>
          <w:lang w:val="en-US"/>
        </w:rPr>
        <w:t xml:space="preserve">Financial support </w:t>
      </w:r>
      <w:r w:rsidR="0062447D">
        <w:rPr>
          <w:szCs w:val="24"/>
          <w:lang w:val="en-US"/>
        </w:rPr>
        <w:t>from</w:t>
      </w:r>
      <w:r w:rsidR="0062447D" w:rsidRPr="009070F8">
        <w:rPr>
          <w:szCs w:val="24"/>
          <w:lang w:val="en-US"/>
        </w:rPr>
        <w:t xml:space="preserve"> </w:t>
      </w:r>
      <w:r w:rsidR="007C5CF9" w:rsidRPr="009070F8">
        <w:rPr>
          <w:szCs w:val="24"/>
          <w:lang w:val="en-US"/>
        </w:rPr>
        <w:t>FAPESP</w:t>
      </w:r>
      <w:r w:rsidR="002736E5" w:rsidRPr="009070F8">
        <w:rPr>
          <w:szCs w:val="24"/>
          <w:lang w:val="en-US"/>
        </w:rPr>
        <w:t xml:space="preserve"> (n.</w:t>
      </w:r>
      <w:r w:rsidR="007C5CF9" w:rsidRPr="009070F8">
        <w:rPr>
          <w:szCs w:val="24"/>
          <w:lang w:val="en-US"/>
        </w:rPr>
        <w:t>2013/07559-3</w:t>
      </w:r>
      <w:r w:rsidR="004F6BA3">
        <w:rPr>
          <w:szCs w:val="24"/>
          <w:lang w:val="en-US"/>
        </w:rPr>
        <w:t xml:space="preserve">, </w:t>
      </w:r>
      <w:r w:rsidR="00D26878" w:rsidRPr="00D26878">
        <w:rPr>
          <w:szCs w:val="24"/>
          <w:lang w:val="en-US"/>
        </w:rPr>
        <w:t>2015/24260-7</w:t>
      </w:r>
      <w:r w:rsidR="002736E5" w:rsidRPr="009070F8">
        <w:rPr>
          <w:szCs w:val="24"/>
          <w:lang w:val="en-US"/>
        </w:rPr>
        <w:t>)</w:t>
      </w:r>
      <w:r w:rsidR="007C5CF9" w:rsidRPr="009070F8">
        <w:rPr>
          <w:szCs w:val="24"/>
          <w:lang w:val="en-US"/>
        </w:rPr>
        <w:t xml:space="preserve"> and </w:t>
      </w:r>
      <w:proofErr w:type="spellStart"/>
      <w:r w:rsidR="007C5CF9" w:rsidRPr="009070F8">
        <w:rPr>
          <w:szCs w:val="24"/>
          <w:lang w:val="en-US"/>
        </w:rPr>
        <w:t>CNPq</w:t>
      </w:r>
      <w:proofErr w:type="spellEnd"/>
      <w:r w:rsidR="002736E5" w:rsidRPr="009070F8">
        <w:rPr>
          <w:szCs w:val="24"/>
          <w:lang w:val="en-US"/>
        </w:rPr>
        <w:t xml:space="preserve"> (n.449467/2014-7</w:t>
      </w:r>
      <w:r w:rsidR="002E7402" w:rsidRPr="009070F8">
        <w:rPr>
          <w:szCs w:val="24"/>
          <w:lang w:val="en-US"/>
        </w:rPr>
        <w:t>, 305621/2015-7</w:t>
      </w:r>
      <w:r w:rsidR="004F6BA3">
        <w:rPr>
          <w:szCs w:val="24"/>
          <w:lang w:val="en-US"/>
        </w:rPr>
        <w:t>).</w:t>
      </w:r>
      <w:bookmarkStart w:id="0" w:name="_GoBack"/>
      <w:bookmarkEnd w:id="0"/>
    </w:p>
    <w:sectPr w:rsidR="005259DA" w:rsidRPr="00302851" w:rsidSect="00743343">
      <w:head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B827" w14:textId="77777777" w:rsidR="001B036E" w:rsidRDefault="001B036E" w:rsidP="00743343">
      <w:r>
        <w:separator/>
      </w:r>
    </w:p>
  </w:endnote>
  <w:endnote w:type="continuationSeparator" w:id="0">
    <w:p w14:paraId="6A26540E" w14:textId="77777777" w:rsidR="001B036E" w:rsidRDefault="001B036E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199EF" w14:textId="77777777" w:rsidR="001B036E" w:rsidRDefault="001B036E" w:rsidP="00743343">
      <w:r>
        <w:separator/>
      </w:r>
    </w:p>
  </w:footnote>
  <w:footnote w:type="continuationSeparator" w:id="0">
    <w:p w14:paraId="122590F2" w14:textId="77777777" w:rsidR="001B036E" w:rsidRDefault="001B036E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D806" w14:textId="77777777" w:rsidR="00037F15" w:rsidRPr="000557A7" w:rsidRDefault="00037F15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CFD5B" wp14:editId="1720489A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E69CF" w14:textId="77777777" w:rsidR="00037F15" w:rsidRDefault="00037F1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2ADE1832" w14:textId="77777777" w:rsidR="00037F15" w:rsidRDefault="00037F1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25530DFB" w14:textId="77777777" w:rsidR="00037F15" w:rsidRPr="000557A7" w:rsidRDefault="00037F1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14:paraId="546E69CF" w14:textId="77777777" w:rsidR="00037F15" w:rsidRDefault="00037F1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2ADE1832" w14:textId="77777777" w:rsidR="00037F15" w:rsidRDefault="00037F1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25530DFB" w14:textId="77777777" w:rsidR="00037F15" w:rsidRPr="000557A7" w:rsidRDefault="00037F1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C8E0CCB" wp14:editId="008DA137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25F98"/>
    <w:rsid w:val="0003597F"/>
    <w:rsid w:val="00037F15"/>
    <w:rsid w:val="00042C87"/>
    <w:rsid w:val="000557A7"/>
    <w:rsid w:val="000577A3"/>
    <w:rsid w:val="00071DAD"/>
    <w:rsid w:val="000C234C"/>
    <w:rsid w:val="000C58C8"/>
    <w:rsid w:val="000C7FE2"/>
    <w:rsid w:val="000D4088"/>
    <w:rsid w:val="00102007"/>
    <w:rsid w:val="00117749"/>
    <w:rsid w:val="001B036E"/>
    <w:rsid w:val="00206963"/>
    <w:rsid w:val="0021011C"/>
    <w:rsid w:val="00211E88"/>
    <w:rsid w:val="00220F79"/>
    <w:rsid w:val="00262DE0"/>
    <w:rsid w:val="00263FB4"/>
    <w:rsid w:val="00264FBA"/>
    <w:rsid w:val="002736E5"/>
    <w:rsid w:val="002C3BE6"/>
    <w:rsid w:val="002E5535"/>
    <w:rsid w:val="002E7402"/>
    <w:rsid w:val="002F1EA5"/>
    <w:rsid w:val="00302851"/>
    <w:rsid w:val="003513A8"/>
    <w:rsid w:val="00375C0C"/>
    <w:rsid w:val="00387C79"/>
    <w:rsid w:val="00391D25"/>
    <w:rsid w:val="0039724F"/>
    <w:rsid w:val="003A0522"/>
    <w:rsid w:val="003B0DB9"/>
    <w:rsid w:val="003F2BC3"/>
    <w:rsid w:val="00405762"/>
    <w:rsid w:val="004061C0"/>
    <w:rsid w:val="00431CAC"/>
    <w:rsid w:val="00450D61"/>
    <w:rsid w:val="00463BB7"/>
    <w:rsid w:val="004647A5"/>
    <w:rsid w:val="0049470E"/>
    <w:rsid w:val="00495481"/>
    <w:rsid w:val="004B231D"/>
    <w:rsid w:val="004C3E57"/>
    <w:rsid w:val="004D3FC7"/>
    <w:rsid w:val="004E068C"/>
    <w:rsid w:val="004F6BA3"/>
    <w:rsid w:val="005055F0"/>
    <w:rsid w:val="005259DA"/>
    <w:rsid w:val="00586AB9"/>
    <w:rsid w:val="005A19DF"/>
    <w:rsid w:val="005A30F4"/>
    <w:rsid w:val="005E1B59"/>
    <w:rsid w:val="005E673F"/>
    <w:rsid w:val="0062447D"/>
    <w:rsid w:val="00642AA5"/>
    <w:rsid w:val="00642E3D"/>
    <w:rsid w:val="00661827"/>
    <w:rsid w:val="00686FA1"/>
    <w:rsid w:val="006B465C"/>
    <w:rsid w:val="006D0466"/>
    <w:rsid w:val="006F0DE2"/>
    <w:rsid w:val="007046BE"/>
    <w:rsid w:val="00711996"/>
    <w:rsid w:val="00743343"/>
    <w:rsid w:val="007B35CF"/>
    <w:rsid w:val="007C5CF9"/>
    <w:rsid w:val="007D1E6C"/>
    <w:rsid w:val="007D7DD0"/>
    <w:rsid w:val="007F3D2A"/>
    <w:rsid w:val="00832B02"/>
    <w:rsid w:val="00896634"/>
    <w:rsid w:val="00897C56"/>
    <w:rsid w:val="009070F8"/>
    <w:rsid w:val="00907D86"/>
    <w:rsid w:val="00974201"/>
    <w:rsid w:val="00A25F3B"/>
    <w:rsid w:val="00A54846"/>
    <w:rsid w:val="00A567A8"/>
    <w:rsid w:val="00A718A1"/>
    <w:rsid w:val="00A90024"/>
    <w:rsid w:val="00A9321D"/>
    <w:rsid w:val="00A97586"/>
    <w:rsid w:val="00AD5A4B"/>
    <w:rsid w:val="00AE3401"/>
    <w:rsid w:val="00AE7C4B"/>
    <w:rsid w:val="00B04BD1"/>
    <w:rsid w:val="00B10AE6"/>
    <w:rsid w:val="00B2409A"/>
    <w:rsid w:val="00B433F9"/>
    <w:rsid w:val="00B52F14"/>
    <w:rsid w:val="00B62E1C"/>
    <w:rsid w:val="00B64A0D"/>
    <w:rsid w:val="00B82925"/>
    <w:rsid w:val="00B85F09"/>
    <w:rsid w:val="00B86053"/>
    <w:rsid w:val="00BD6431"/>
    <w:rsid w:val="00C171DE"/>
    <w:rsid w:val="00C76F2F"/>
    <w:rsid w:val="00C85417"/>
    <w:rsid w:val="00CB4B06"/>
    <w:rsid w:val="00CE7D42"/>
    <w:rsid w:val="00D26878"/>
    <w:rsid w:val="00D81756"/>
    <w:rsid w:val="00DC38BE"/>
    <w:rsid w:val="00E07A76"/>
    <w:rsid w:val="00E24564"/>
    <w:rsid w:val="00E50AB8"/>
    <w:rsid w:val="00E83C15"/>
    <w:rsid w:val="00E86F17"/>
    <w:rsid w:val="00EA2AB9"/>
    <w:rsid w:val="00EA6C72"/>
    <w:rsid w:val="00EC2448"/>
    <w:rsid w:val="00ED0721"/>
    <w:rsid w:val="00EE089D"/>
    <w:rsid w:val="00EF7DA3"/>
    <w:rsid w:val="00F4612E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3C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6FA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A0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6FA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A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i.de/competition/i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85E2-0E3A-4B25-8BD0-85AA578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Paula G.</cp:lastModifiedBy>
  <cp:revision>3</cp:revision>
  <dcterms:created xsi:type="dcterms:W3CDTF">2017-01-26T13:38:00Z</dcterms:created>
  <dcterms:modified xsi:type="dcterms:W3CDTF">2017-02-02T14:08:00Z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001e1366-2d40-311a-85f8-b0199a616c12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</vt:lpwstr>
  </property>
  <property fmtid="{D5CDD505-2E9C-101B-9397-08002B2CF9AE}" pid="12" name="Mendeley Recent Style Name 3_1">
    <vt:lpwstr>Associação Brasileira de Normas Técnicas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http://csl.mendeley.com/styles/43221761/vancouver2</vt:lpwstr>
  </property>
  <property fmtid="{D5CDD505-2E9C-101B-9397-08002B2CF9AE}" pid="24" name="Mendeley Recent Style Name 9_1">
    <vt:lpwstr>Vancouver CBIS 2014 - Paula G. Rodrigues</vt:lpwstr>
  </property>
</Properties>
</file>