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97" w:rsidRDefault="00193597" w:rsidP="00193597">
      <w:pPr>
        <w:jc w:val="center"/>
        <w:rPr>
          <w:b/>
          <w:sz w:val="28"/>
          <w:lang w:val="en-US"/>
        </w:rPr>
      </w:pPr>
      <w:r>
        <w:rPr>
          <w:b/>
          <w:sz w:val="28"/>
          <w:lang w:val="en-US"/>
        </w:rPr>
        <w:t>F</w:t>
      </w:r>
      <w:r w:rsidR="004B1386">
        <w:rPr>
          <w:b/>
          <w:sz w:val="28"/>
          <w:lang w:val="en-US"/>
        </w:rPr>
        <w:t>unctional studies</w:t>
      </w:r>
      <w:r w:rsidR="004B1386" w:rsidRPr="00A737B5">
        <w:rPr>
          <w:b/>
          <w:sz w:val="28"/>
          <w:lang w:val="en-US"/>
        </w:rPr>
        <w:t xml:space="preserve"> of </w:t>
      </w:r>
      <w:r w:rsidR="004B1386" w:rsidRPr="00A946D2">
        <w:rPr>
          <w:b/>
          <w:i/>
          <w:sz w:val="28"/>
          <w:lang w:val="en-US"/>
        </w:rPr>
        <w:t>scn1a</w:t>
      </w:r>
      <w:r w:rsidR="004B1386">
        <w:rPr>
          <w:b/>
          <w:i/>
          <w:sz w:val="28"/>
          <w:lang w:val="en-US"/>
        </w:rPr>
        <w:t xml:space="preserve"> </w:t>
      </w:r>
      <w:r w:rsidR="004B1386">
        <w:rPr>
          <w:b/>
          <w:sz w:val="28"/>
          <w:lang w:val="en-US"/>
        </w:rPr>
        <w:t xml:space="preserve">mutations </w:t>
      </w:r>
    </w:p>
    <w:p w:rsidR="00E24564" w:rsidRPr="00E24564" w:rsidRDefault="00E24564" w:rsidP="002F1EA5">
      <w:pPr>
        <w:jc w:val="center"/>
        <w:rPr>
          <w:lang w:val="en-US"/>
        </w:rPr>
      </w:pPr>
    </w:p>
    <w:p w:rsidR="00193597" w:rsidRPr="0049470E" w:rsidRDefault="00193597" w:rsidP="00193597">
      <w:pPr>
        <w:jc w:val="center"/>
        <w:rPr>
          <w:lang w:val="en-US"/>
        </w:rPr>
      </w:pPr>
      <w:r w:rsidRPr="00BD3B1C">
        <w:t>Lindo-Samanamud</w:t>
      </w:r>
      <w:r>
        <w:t>,</w:t>
      </w:r>
      <w:r w:rsidRPr="00BD3B1C">
        <w:t xml:space="preserve"> Saul</w:t>
      </w:r>
      <w:r w:rsidRPr="00BD3B1C">
        <w:rPr>
          <w:vertAlign w:val="superscript"/>
        </w:rPr>
        <w:t>1</w:t>
      </w:r>
      <w:r>
        <w:t>;</w:t>
      </w:r>
      <w:r w:rsidRPr="00BD3B1C">
        <w:t xml:space="preserve"> Vieira</w:t>
      </w:r>
      <w:r>
        <w:t>,</w:t>
      </w:r>
      <w:r w:rsidRPr="00BD3B1C">
        <w:t xml:space="preserve"> </w:t>
      </w:r>
      <w:proofErr w:type="spellStart"/>
      <w:r w:rsidRPr="00BD3B1C">
        <w:t>Andre</w:t>
      </w:r>
      <w:proofErr w:type="spellEnd"/>
      <w:r w:rsidRPr="00BD3B1C">
        <w:t xml:space="preserve"> S</w:t>
      </w:r>
      <w:r w:rsidRPr="00BD3B1C">
        <w:rPr>
          <w:vertAlign w:val="superscript"/>
        </w:rPr>
        <w:t>1</w:t>
      </w:r>
      <w:r>
        <w:t>;</w:t>
      </w:r>
      <w:r w:rsidRPr="00BD3B1C">
        <w:t xml:space="preserve"> </w:t>
      </w:r>
      <w:r>
        <w:t>Torres, Fábio Rossi</w:t>
      </w:r>
      <w:r w:rsidRPr="00BD3B1C">
        <w:rPr>
          <w:vertAlign w:val="superscript"/>
        </w:rPr>
        <w:t>1</w:t>
      </w:r>
      <w:r>
        <w:t>;</w:t>
      </w:r>
      <w:r w:rsidRPr="00BD3B1C">
        <w:t xml:space="preserve"> </w:t>
      </w:r>
      <w:proofErr w:type="spellStart"/>
      <w:r w:rsidRPr="00BD3B1C">
        <w:t>Gonsales</w:t>
      </w:r>
      <w:proofErr w:type="spellEnd"/>
      <w:r>
        <w:t>,</w:t>
      </w:r>
      <w:r w:rsidRPr="00BD3B1C">
        <w:t xml:space="preserve"> </w:t>
      </w:r>
      <w:r w:rsidRPr="00F937B5">
        <w:t>Marina C</w:t>
      </w:r>
      <w:r w:rsidRPr="00F937B5">
        <w:rPr>
          <w:vertAlign w:val="superscript"/>
        </w:rPr>
        <w:t>1</w:t>
      </w:r>
      <w:r>
        <w:t>;</w:t>
      </w:r>
      <w:r w:rsidRPr="00F937B5">
        <w:t xml:space="preserve"> </w:t>
      </w:r>
      <w:proofErr w:type="spellStart"/>
      <w:r w:rsidRPr="00F937B5">
        <w:t>Cendes</w:t>
      </w:r>
      <w:proofErr w:type="spellEnd"/>
      <w:r w:rsidRPr="00F937B5">
        <w:t xml:space="preserve"> F</w:t>
      </w:r>
      <w:r w:rsidRPr="00F937B5">
        <w:rPr>
          <w:vertAlign w:val="superscript"/>
        </w:rPr>
        <w:t>1</w:t>
      </w:r>
      <w:r>
        <w:t>;</w:t>
      </w:r>
      <w:r w:rsidRPr="00F937B5">
        <w:rPr>
          <w:vertAlign w:val="superscript"/>
        </w:rPr>
        <w:t xml:space="preserve"> </w:t>
      </w:r>
      <w:r>
        <w:t>Lopes-</w:t>
      </w:r>
      <w:proofErr w:type="spellStart"/>
      <w:r>
        <w:t>Cendes</w:t>
      </w:r>
      <w:proofErr w:type="spellEnd"/>
      <w:r>
        <w:t>,</w:t>
      </w:r>
      <w:r w:rsidRPr="00F937B5">
        <w:t xml:space="preserve"> </w:t>
      </w:r>
      <w:r w:rsidRPr="00705C36">
        <w:rPr>
          <w:lang w:val="en-US"/>
        </w:rPr>
        <w:t>Iscia</w:t>
      </w:r>
      <w:r>
        <w:rPr>
          <w:vertAlign w:val="superscript"/>
          <w:lang w:val="en-US"/>
        </w:rPr>
        <w:t>1</w:t>
      </w:r>
      <w:r>
        <w:rPr>
          <w:lang w:val="en-US"/>
        </w:rPr>
        <w:t>.</w:t>
      </w:r>
    </w:p>
    <w:p w:rsidR="00193597" w:rsidRDefault="00193597" w:rsidP="00193597">
      <w:pPr>
        <w:rPr>
          <w:sz w:val="20"/>
          <w:lang w:val="en-US"/>
        </w:rPr>
      </w:pPr>
      <w:r w:rsidRPr="002F1EA5">
        <w:rPr>
          <w:sz w:val="20"/>
          <w:vertAlign w:val="superscript"/>
          <w:lang w:val="en-US"/>
        </w:rPr>
        <w:t>1</w:t>
      </w:r>
      <w:r>
        <w:rPr>
          <w:sz w:val="20"/>
          <w:lang w:val="en-US"/>
        </w:rPr>
        <w:t xml:space="preserve">Department of Medical </w:t>
      </w:r>
      <w:r w:rsidRPr="00D31D1D">
        <w:rPr>
          <w:sz w:val="20"/>
          <w:lang w:val="en-US"/>
        </w:rPr>
        <w:t>Genetics</w:t>
      </w:r>
      <w:r>
        <w:rPr>
          <w:sz w:val="20"/>
          <w:lang w:val="en-US"/>
        </w:rPr>
        <w:t>, School of Medical Sciences, University of Campinas -UNICAMP</w:t>
      </w:r>
    </w:p>
    <w:p w:rsidR="00E326AF" w:rsidRDefault="00E326AF" w:rsidP="00E326AF">
      <w:pPr>
        <w:textAlignment w:val="baseline"/>
        <w:rPr>
          <w:rFonts w:cs="Arial"/>
          <w:b/>
          <w:bCs/>
          <w:bdr w:val="none" w:sz="0" w:space="0" w:color="auto" w:frame="1"/>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I</w:t>
      </w:r>
      <w:r w:rsidR="004B1386" w:rsidRPr="001E0B38">
        <w:rPr>
          <w:rFonts w:cs="Arial"/>
          <w:b/>
          <w:bCs/>
          <w:bdr w:val="none" w:sz="0" w:space="0" w:color="auto" w:frame="1"/>
          <w:lang w:val="en-US"/>
        </w:rPr>
        <w:t>ntroduction</w:t>
      </w:r>
      <w:r w:rsidR="004B1386">
        <w:rPr>
          <w:rFonts w:cs="Arial"/>
          <w:b/>
          <w:bCs/>
          <w:bdr w:val="none" w:sz="0" w:space="0" w:color="auto" w:frame="1"/>
          <w:lang w:val="en-US"/>
        </w:rPr>
        <w:t xml:space="preserve"> </w:t>
      </w:r>
    </w:p>
    <w:p w:rsidR="00193597" w:rsidRDefault="00193597" w:rsidP="00F11B94">
      <w:pPr>
        <w:rPr>
          <w:lang w:val="en-US"/>
        </w:rPr>
      </w:pPr>
      <w:r w:rsidRPr="0023606D">
        <w:rPr>
          <w:lang w:val="en-US"/>
        </w:rPr>
        <w:t xml:space="preserve">Mutations in </w:t>
      </w:r>
      <w:r w:rsidRPr="0023606D">
        <w:rPr>
          <w:i/>
          <w:lang w:val="en-US"/>
        </w:rPr>
        <w:t>SCN1A</w:t>
      </w:r>
      <w:r w:rsidRPr="0023606D">
        <w:rPr>
          <w:lang w:val="en-US"/>
        </w:rPr>
        <w:t xml:space="preserve">, a gene that encodes the α-subunit of the sodium channel voltage-dependent (Nav1.1), impair the flow control of sodium ions, resulting  in abnormal sodium influx into neurons that causes a disruption in the channel activity, neuronal hyper excitability and epilepsy </w:t>
      </w:r>
      <w:r w:rsidRPr="0023606D">
        <w:rPr>
          <w:lang w:val="en-US"/>
        </w:rPr>
        <w:fldChar w:fldCharType="begin"/>
      </w:r>
      <w:r w:rsidRPr="0023606D">
        <w:rPr>
          <w:lang w:val="en-US"/>
        </w:rPr>
        <w:instrText xml:space="preserve"> ADDIN ZOTERO_ITEM CSL_CITATION {"citationID":"2935ju8is5","properties":{"formattedCitation":"(2)","plainCitation":"(2)"},"citationItems":[{"id":580,"uris":["http://zotero.org/users/local/tSXgnICf/items/7AUMAA5J"],"uri":["http://zotero.org/users/local/tSXgnICf/items/7AUMAA5J"],"itemData":{"id":580,"type":"article-journal","title":"The SCN1A Mutation Database: Updating Information and Analysis of the Relationships among Genotype, Functional Alteration, and Phenotype","container-title":"Human Mutation","page":"573-580","volume":"36","issue":"6","source":"Wiley Online Library","abstract":"Mutations in the SCN1A gene have been identified in epilepsy patients with widely variable phenotypes and modes of inheritance and in asymptomatic carriers. This raises challenges in evaluating the pathogenicity of SCN1A mutations. We systematically reviewed all SCN1A mutations and established a database containing information on functional alterations. In total, 1,257 mutations have been identified, of which 81.8% were not recurrent. There was a negative correlation between phenotype severity and missense mutation frequency. Further analyses suggested close relationships among genotype, functional alteration, and phenotype. Missense mutations located in different sodium channel regions were associated with distinct functional changes. Missense mutations in the pore region were characterized by the complete loss of function, similar to haploinsufficiency. Mutations with severe phenotypes were more frequently located in the pore region, suggesting that functional alterations are critical in evaluating pathogenicity and can be applied to patient management. A negative correlation was found between phenotype severity and familial incidence, and incomplete penetrance was associated with missense and splice site mutations, but not truncations or genomic rearrangements, suggesting clinical genetic counseling applications. Mosaic mutations with a load of 12.5–25.0% were potentially pathogenic with low penetrance, suggesting the need for future studies on less pathogenic genomic variations.","DOI":"10.1002/humu.22782","ISSN":"1098-1004","note":"00001","shortTitle":"The SCN1A Mutation Database","journalAbbreviation":"Human Mutation","language":"en","author":[{"family":"Meng","given":"Heng"},{"family":"Xu","given":"Hai-Qing"},{"family":"Yu","given":"Lu"},{"family":"Lin","given":"Guo-Wang"},{"family":"He","given":"Na"},{"family":"Su","given":"Tao"},{"family":"Shi","given":"Yi-Wu"},{"family":"Li","given":"Bin"},{"family":"Wang","given":"Jie"},{"family":"Liu","given":"Xiao-Rong"},{"family":"Tang","given":"Bin"},{"family":"Long","given":"Yue-Sheng"},{"family":"Yi","given":"Yong-Hong"},{"family":"Liao","given":"Wei-Ping"}],"issued":{"date-parts":[["2015",6,1]]}}}],"schema":"https://github.com/citation-style-language/schema/raw/master/csl-citation.json"} </w:instrText>
      </w:r>
      <w:r w:rsidRPr="0023606D">
        <w:rPr>
          <w:lang w:val="en-US"/>
        </w:rPr>
        <w:fldChar w:fldCharType="separate"/>
      </w:r>
      <w:r w:rsidRPr="0023606D">
        <w:rPr>
          <w:lang w:val="en-US"/>
        </w:rPr>
        <w:t>(</w:t>
      </w:r>
      <w:r>
        <w:rPr>
          <w:lang w:val="en-US"/>
        </w:rPr>
        <w:t>1</w:t>
      </w:r>
      <w:r w:rsidRPr="0023606D">
        <w:rPr>
          <w:lang w:val="en-US"/>
        </w:rPr>
        <w:t>)</w:t>
      </w:r>
      <w:r w:rsidRPr="0023606D">
        <w:rPr>
          <w:lang w:val="en-US"/>
        </w:rPr>
        <w:fldChar w:fldCharType="end"/>
      </w:r>
      <w:r w:rsidRPr="0023606D">
        <w:rPr>
          <w:lang w:val="en-US"/>
        </w:rPr>
        <w:t xml:space="preserve">. Previous studies carried out by our group found that 81% of patients with Dravet syndrome </w:t>
      </w:r>
      <w:r w:rsidRPr="0023606D">
        <w:rPr>
          <w:bCs/>
          <w:lang w:val="en-US"/>
        </w:rPr>
        <w:t>(</w:t>
      </w:r>
      <w:r w:rsidRPr="0023606D">
        <w:rPr>
          <w:lang w:val="en-US"/>
        </w:rPr>
        <w:t xml:space="preserve">DS) have de novo mutations in </w:t>
      </w:r>
      <w:r w:rsidRPr="0023606D">
        <w:rPr>
          <w:i/>
          <w:lang w:val="en-US"/>
        </w:rPr>
        <w:t>SCN1A</w:t>
      </w:r>
      <w:r>
        <w:rPr>
          <w:i/>
          <w:lang w:val="en-US"/>
        </w:rPr>
        <w:t xml:space="preserve"> </w:t>
      </w:r>
      <w:r w:rsidRPr="0023606D">
        <w:rPr>
          <w:lang w:val="en-US"/>
        </w:rPr>
        <w:fldChar w:fldCharType="begin"/>
      </w:r>
      <w:r w:rsidRPr="0023606D">
        <w:rPr>
          <w:lang w:val="en-US"/>
        </w:rPr>
        <w:instrText xml:space="preserve"> ADDIN ZOTERO_ITEM CSL_CITATION {"citationID":"16fh6pqrj4","properties":{"formattedCitation":"(3)","plainCitation":"(3)"},"citationItems":[{"id":670,"uris":["http://zotero.org/users/local/tSXgnICf/items/J8ZND4XT"],"uri":["http://zotero.org/users/local/tSXgnICf/items/J8ZND4XT"],"itemData":{"id":670,"type":"article-journal","title":"Correlações entre o Genótipo e o Fenótipo na Síndrome de Dravet com Mutações em SCN1AAumentam a Acurácia do Diagnóstico Molecular","container-title":"J Epilepsy","page":"60–62","volume":"18","issue":"2","source":"Google Scholar","note":"00000","author":[{"family":"MCa","given":"Gonsales"},{"family":"MAb","given":"Montenegro"},{"family":"MMb","given":"Guerreiro"},{"family":"Ia","given":"Lopes-Cendes"}],"issued":{"date-parts":[["2012"]]}}}],"schema":"https://github.com/citation-style-language/schema/raw/master/csl-citation.json"} </w:instrText>
      </w:r>
      <w:r w:rsidRPr="0023606D">
        <w:rPr>
          <w:lang w:val="en-US"/>
        </w:rPr>
        <w:fldChar w:fldCharType="separate"/>
      </w:r>
      <w:r w:rsidRPr="0023606D">
        <w:rPr>
          <w:lang w:val="en-US"/>
        </w:rPr>
        <w:t>(</w:t>
      </w:r>
      <w:r>
        <w:rPr>
          <w:lang w:val="en-US"/>
        </w:rPr>
        <w:t>2</w:t>
      </w:r>
      <w:r w:rsidRPr="0023606D">
        <w:rPr>
          <w:lang w:val="en-US"/>
        </w:rPr>
        <w:t>)</w:t>
      </w:r>
      <w:r w:rsidRPr="0023606D">
        <w:rPr>
          <w:lang w:val="en-US"/>
        </w:rPr>
        <w:fldChar w:fldCharType="end"/>
      </w:r>
      <w:r w:rsidRPr="0023606D">
        <w:rPr>
          <w:lang w:val="en-US"/>
        </w:rPr>
        <w:t xml:space="preserve">. Interpretation of the mutation impact in protein function is usually performed using pathogenicity prediction software’s. Therefore, functional studies are important both to confirm results from </w:t>
      </w:r>
      <w:r w:rsidRPr="0023606D">
        <w:rPr>
          <w:i/>
          <w:lang w:val="en-US"/>
        </w:rPr>
        <w:t xml:space="preserve">in </w:t>
      </w:r>
      <w:proofErr w:type="spellStart"/>
      <w:r w:rsidRPr="0023606D">
        <w:rPr>
          <w:i/>
          <w:lang w:val="en-US"/>
        </w:rPr>
        <w:t>silico</w:t>
      </w:r>
      <w:proofErr w:type="spellEnd"/>
      <w:r w:rsidRPr="0023606D">
        <w:rPr>
          <w:lang w:val="en-US"/>
        </w:rPr>
        <w:t xml:space="preserve"> analysis and to</w:t>
      </w:r>
      <w:r>
        <w:rPr>
          <w:lang w:val="en-US"/>
        </w:rPr>
        <w:t xml:space="preserve"> better</w:t>
      </w:r>
      <w:r w:rsidRPr="0023606D">
        <w:rPr>
          <w:lang w:val="en-US"/>
        </w:rPr>
        <w:t xml:space="preserve"> characterize </w:t>
      </w:r>
      <w:r>
        <w:rPr>
          <w:lang w:val="en-US"/>
        </w:rPr>
        <w:t xml:space="preserve">the deleterious effects of </w:t>
      </w:r>
      <w:r w:rsidRPr="0023606D">
        <w:rPr>
          <w:lang w:val="en-US"/>
        </w:rPr>
        <w:t>mutations.</w:t>
      </w:r>
      <w:r w:rsidR="00F11B94">
        <w:rPr>
          <w:lang w:val="en-US"/>
        </w:rPr>
        <w:t xml:space="preserve"> </w:t>
      </w:r>
    </w:p>
    <w:p w:rsidR="003F4AD0" w:rsidRPr="00F11B94" w:rsidRDefault="003F4AD0" w:rsidP="00F11B9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O</w:t>
      </w:r>
      <w:r w:rsidR="004B1386" w:rsidRPr="001E0B38">
        <w:rPr>
          <w:rFonts w:cs="Arial"/>
          <w:b/>
          <w:bCs/>
          <w:bdr w:val="none" w:sz="0" w:space="0" w:color="auto" w:frame="1"/>
          <w:lang w:val="en-US"/>
        </w:rPr>
        <w:t>bjective</w:t>
      </w:r>
    </w:p>
    <w:p w:rsidR="00F11B94" w:rsidRDefault="00F11B94" w:rsidP="00F11B94">
      <w:pPr>
        <w:rPr>
          <w:lang w:val="en-US"/>
        </w:rPr>
      </w:pPr>
      <w:r w:rsidRPr="00F11B94">
        <w:rPr>
          <w:lang w:val="en-US"/>
        </w:rPr>
        <w:t xml:space="preserve">To </w:t>
      </w:r>
      <w:r w:rsidR="003F4AD0" w:rsidRPr="00F11B94">
        <w:rPr>
          <w:lang w:val="en-US"/>
        </w:rPr>
        <w:t>evaluate the</w:t>
      </w:r>
      <w:r w:rsidRPr="00F11B94">
        <w:rPr>
          <w:lang w:val="en-US"/>
        </w:rPr>
        <w:t xml:space="preserve"> molecular path</w:t>
      </w:r>
      <w:r>
        <w:rPr>
          <w:lang w:val="en-US"/>
        </w:rPr>
        <w:t>ogenesis of SCN1A gene mutation</w:t>
      </w:r>
      <w:r w:rsidRPr="00F11B94">
        <w:rPr>
          <w:lang w:val="en-US"/>
        </w:rPr>
        <w:t xml:space="preserve"> in a </w:t>
      </w:r>
      <w:proofErr w:type="spellStart"/>
      <w:r w:rsidRPr="00F11B94">
        <w:rPr>
          <w:lang w:val="en-US"/>
        </w:rPr>
        <w:t>Tsa</w:t>
      </w:r>
      <w:proofErr w:type="spellEnd"/>
      <w:r w:rsidRPr="00F11B94">
        <w:rPr>
          <w:lang w:val="en-US"/>
        </w:rPr>
        <w:t xml:space="preserve"> 201 cell line using electrophysiology tec</w:t>
      </w:r>
      <w:r w:rsidR="006B1D6D">
        <w:rPr>
          <w:lang w:val="en-US"/>
        </w:rPr>
        <w:t>h</w:t>
      </w:r>
      <w:r w:rsidRPr="00F11B94">
        <w:rPr>
          <w:lang w:val="en-US"/>
        </w:rPr>
        <w:t>niques</w:t>
      </w:r>
      <w:r w:rsidR="003F4AD0">
        <w:rPr>
          <w:lang w:val="en-US"/>
        </w:rPr>
        <w:t>.</w:t>
      </w:r>
    </w:p>
    <w:p w:rsidR="003F4AD0" w:rsidRPr="00F11B94" w:rsidRDefault="003F4AD0" w:rsidP="00F11B9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M</w:t>
      </w:r>
      <w:r w:rsidR="004B1386" w:rsidRPr="001E0B38">
        <w:rPr>
          <w:rFonts w:cs="Arial"/>
          <w:b/>
          <w:bCs/>
          <w:bdr w:val="none" w:sz="0" w:space="0" w:color="auto" w:frame="1"/>
          <w:lang w:val="en-US"/>
        </w:rPr>
        <w:t>ethod</w:t>
      </w:r>
      <w:r w:rsidRPr="001E0B38">
        <w:rPr>
          <w:rFonts w:cs="Arial"/>
          <w:b/>
          <w:bCs/>
          <w:bdr w:val="none" w:sz="0" w:space="0" w:color="auto" w:frame="1"/>
          <w:lang w:val="en-US"/>
        </w:rPr>
        <w:t xml:space="preserve"> </w:t>
      </w:r>
    </w:p>
    <w:p w:rsidR="00263FB4" w:rsidRDefault="00193597" w:rsidP="00193597">
      <w:pPr>
        <w:rPr>
          <w:rStyle w:val="hps"/>
          <w:lang w:val="en"/>
        </w:rPr>
      </w:pPr>
      <w:r>
        <w:rPr>
          <w:lang w:val="en-US"/>
        </w:rPr>
        <w:t xml:space="preserve">Mutation </w:t>
      </w:r>
      <w:r w:rsidRPr="00AF1AEF">
        <w:rPr>
          <w:lang w:val="en-US"/>
        </w:rPr>
        <w:t>c.5329delG</w:t>
      </w:r>
      <w:r>
        <w:rPr>
          <w:lang w:val="en-US"/>
        </w:rPr>
        <w:t xml:space="preserve"> was</w:t>
      </w:r>
      <w:r w:rsidRPr="00AF1AEF">
        <w:rPr>
          <w:lang w:val="en-US"/>
        </w:rPr>
        <w:t xml:space="preserve"> </w:t>
      </w:r>
      <w:r>
        <w:rPr>
          <w:lang w:val="en-US"/>
        </w:rPr>
        <w:t>selected following two parameters</w:t>
      </w:r>
      <w:r w:rsidRPr="00AF1AEF">
        <w:rPr>
          <w:lang w:val="en-US"/>
        </w:rPr>
        <w:t>:</w:t>
      </w:r>
      <w:r w:rsidRPr="0089711A">
        <w:rPr>
          <w:lang w:val="en"/>
        </w:rPr>
        <w:t xml:space="preserve"> </w:t>
      </w:r>
      <w:r>
        <w:rPr>
          <w:rStyle w:val="hps"/>
          <w:lang w:val="en"/>
        </w:rPr>
        <w:t>1)</w:t>
      </w:r>
      <w:r>
        <w:rPr>
          <w:lang w:val="en"/>
        </w:rPr>
        <w:t xml:space="preserve"> </w:t>
      </w:r>
      <w:r>
        <w:rPr>
          <w:rStyle w:val="hps"/>
          <w:lang w:val="en"/>
        </w:rPr>
        <w:t>mutations that</w:t>
      </w:r>
      <w:r>
        <w:rPr>
          <w:lang w:val="en"/>
        </w:rPr>
        <w:t xml:space="preserve"> </w:t>
      </w:r>
      <w:r>
        <w:rPr>
          <w:rStyle w:val="hps"/>
          <w:lang w:val="en"/>
        </w:rPr>
        <w:t>are not</w:t>
      </w:r>
      <w:r>
        <w:rPr>
          <w:lang w:val="en"/>
        </w:rPr>
        <w:t xml:space="preserve"> </w:t>
      </w:r>
      <w:r>
        <w:rPr>
          <w:rStyle w:val="hps"/>
          <w:lang w:val="en"/>
        </w:rPr>
        <w:t>described in</w:t>
      </w:r>
      <w:r>
        <w:rPr>
          <w:lang w:val="en"/>
        </w:rPr>
        <w:t xml:space="preserve"> </w:t>
      </w:r>
      <w:r>
        <w:rPr>
          <w:rStyle w:val="hps"/>
          <w:lang w:val="en"/>
        </w:rPr>
        <w:t>literature and 2</w:t>
      </w:r>
      <w:r>
        <w:rPr>
          <w:lang w:val="en"/>
        </w:rPr>
        <w:t xml:space="preserve">) scores </w:t>
      </w:r>
      <w:r>
        <w:rPr>
          <w:rStyle w:val="hps"/>
          <w:lang w:val="en"/>
        </w:rPr>
        <w:t>obtained by</w:t>
      </w:r>
      <w:r>
        <w:rPr>
          <w:lang w:val="en"/>
        </w:rPr>
        <w:t xml:space="preserve"> </w:t>
      </w:r>
      <w:r>
        <w:rPr>
          <w:rStyle w:val="hps"/>
          <w:lang w:val="en"/>
        </w:rPr>
        <w:t>bioinformatics tools</w:t>
      </w:r>
      <w:r>
        <w:rPr>
          <w:lang w:val="en"/>
        </w:rPr>
        <w:t xml:space="preserve"> </w:t>
      </w:r>
      <w:r>
        <w:rPr>
          <w:rStyle w:val="hps"/>
          <w:lang w:val="en"/>
        </w:rPr>
        <w:t>as</w:t>
      </w:r>
      <w:r>
        <w:rPr>
          <w:lang w:val="en"/>
        </w:rPr>
        <w:t xml:space="preserve"> </w:t>
      </w:r>
      <w:r>
        <w:rPr>
          <w:rStyle w:val="hps"/>
          <w:lang w:val="en"/>
        </w:rPr>
        <w:t>SIFT</w:t>
      </w:r>
      <w:r>
        <w:rPr>
          <w:lang w:val="en"/>
        </w:rPr>
        <w:t xml:space="preserve"> and </w:t>
      </w:r>
      <w:r>
        <w:rPr>
          <w:rStyle w:val="hps"/>
          <w:lang w:val="en"/>
        </w:rPr>
        <w:t xml:space="preserve">Polypen2 </w:t>
      </w:r>
      <w:r>
        <w:rPr>
          <w:lang w:val="en"/>
        </w:rPr>
        <w:t>showing that variations are damaging to protein function</w:t>
      </w:r>
      <w:r w:rsidRPr="00C71E98">
        <w:rPr>
          <w:rFonts w:eastAsia="Times New Roman"/>
          <w:szCs w:val="24"/>
          <w:lang w:val="en" w:eastAsia="es-ES"/>
        </w:rPr>
        <w:t>.</w:t>
      </w:r>
      <w:r w:rsidRPr="00BD3B1C">
        <w:rPr>
          <w:lang w:val="en-US"/>
        </w:rPr>
        <w:t xml:space="preserve"> </w:t>
      </w:r>
      <w:r>
        <w:rPr>
          <w:rStyle w:val="hps"/>
          <w:lang w:val="en"/>
        </w:rPr>
        <w:t xml:space="preserve">The wild forms of </w:t>
      </w:r>
      <w:r w:rsidRPr="008C1A1C">
        <w:rPr>
          <w:rStyle w:val="hps"/>
          <w:i/>
          <w:lang w:val="en"/>
        </w:rPr>
        <w:t>SCN1A</w:t>
      </w:r>
      <w:r w:rsidRPr="0089711A">
        <w:rPr>
          <w:rStyle w:val="hps"/>
          <w:lang w:val="en"/>
        </w:rPr>
        <w:t xml:space="preserve"> and</w:t>
      </w:r>
      <w:r>
        <w:rPr>
          <w:rStyle w:val="hps"/>
          <w:lang w:val="en"/>
        </w:rPr>
        <w:t xml:space="preserve"> the</w:t>
      </w:r>
      <w:r w:rsidRPr="0089711A">
        <w:rPr>
          <w:rStyle w:val="hps"/>
          <w:lang w:val="en"/>
        </w:rPr>
        <w:t xml:space="preserve"> genes</w:t>
      </w:r>
      <w:r>
        <w:rPr>
          <w:rStyle w:val="hps"/>
          <w:lang w:val="en"/>
        </w:rPr>
        <w:t xml:space="preserve"> encoding </w:t>
      </w:r>
      <w:r w:rsidRPr="00007FA4">
        <w:rPr>
          <w:rStyle w:val="hps"/>
          <w:lang w:val="en"/>
        </w:rPr>
        <w:t>auxiliary β-subunits</w:t>
      </w:r>
      <w:r w:rsidRPr="0089711A">
        <w:rPr>
          <w:rStyle w:val="hps"/>
          <w:lang w:val="en"/>
        </w:rPr>
        <w:t xml:space="preserve"> </w:t>
      </w:r>
      <w:r w:rsidRPr="008C1A1C">
        <w:rPr>
          <w:rStyle w:val="hps"/>
          <w:i/>
          <w:lang w:val="en"/>
        </w:rPr>
        <w:t>SCN1B</w:t>
      </w:r>
      <w:r w:rsidRPr="0089711A">
        <w:rPr>
          <w:rStyle w:val="hps"/>
          <w:lang w:val="en"/>
        </w:rPr>
        <w:t xml:space="preserve">, </w:t>
      </w:r>
      <w:r w:rsidRPr="008C1A1C">
        <w:rPr>
          <w:rStyle w:val="hps"/>
          <w:i/>
          <w:lang w:val="en"/>
        </w:rPr>
        <w:t>SCN2B</w:t>
      </w:r>
      <w:r w:rsidRPr="0089711A">
        <w:rPr>
          <w:rStyle w:val="hps"/>
          <w:lang w:val="en"/>
        </w:rPr>
        <w:t xml:space="preserve"> (wild</w:t>
      </w:r>
      <w:r>
        <w:rPr>
          <w:rStyle w:val="hps"/>
          <w:lang w:val="en"/>
        </w:rPr>
        <w:t>-type</w:t>
      </w:r>
      <w:r w:rsidRPr="0089711A">
        <w:rPr>
          <w:rStyle w:val="hps"/>
          <w:lang w:val="en"/>
        </w:rPr>
        <w:t xml:space="preserve"> genes) were cloned by recombinant DNA technology</w:t>
      </w:r>
      <w:r>
        <w:rPr>
          <w:rStyle w:val="hps"/>
          <w:lang w:val="en"/>
        </w:rPr>
        <w:t>.</w:t>
      </w:r>
      <w:r w:rsidRPr="00424433">
        <w:rPr>
          <w:lang w:val="en"/>
        </w:rPr>
        <w:t xml:space="preserve"> </w:t>
      </w:r>
      <w:r>
        <w:rPr>
          <w:rFonts w:eastAsia="Times New Roman"/>
          <w:szCs w:val="24"/>
          <w:lang w:val="en" w:eastAsia="es-ES"/>
        </w:rPr>
        <w:t xml:space="preserve">Recombinant plasmids </w:t>
      </w:r>
      <w:r w:rsidRPr="00424433">
        <w:rPr>
          <w:rFonts w:eastAsia="Times New Roman"/>
          <w:szCs w:val="24"/>
          <w:lang w:val="en" w:eastAsia="es-ES"/>
        </w:rPr>
        <w:t>were i</w:t>
      </w:r>
      <w:r>
        <w:rPr>
          <w:rFonts w:eastAsia="Times New Roman"/>
          <w:szCs w:val="24"/>
          <w:lang w:val="en" w:eastAsia="es-ES"/>
        </w:rPr>
        <w:t xml:space="preserve">solated, </w:t>
      </w:r>
      <w:r w:rsidRPr="00424433">
        <w:rPr>
          <w:rFonts w:eastAsia="Times New Roman"/>
          <w:szCs w:val="24"/>
          <w:lang w:val="en" w:eastAsia="es-ES"/>
        </w:rPr>
        <w:t>purified</w:t>
      </w:r>
      <w:r>
        <w:rPr>
          <w:rFonts w:eastAsia="Times New Roman"/>
          <w:szCs w:val="24"/>
          <w:lang w:val="en" w:eastAsia="es-ES"/>
        </w:rPr>
        <w:t xml:space="preserve"> and submitted to sequencing on a </w:t>
      </w:r>
      <w:proofErr w:type="spellStart"/>
      <w:r>
        <w:rPr>
          <w:rFonts w:eastAsia="Times New Roman"/>
          <w:szCs w:val="24"/>
          <w:lang w:val="en" w:eastAsia="es-ES"/>
        </w:rPr>
        <w:t>Miseq</w:t>
      </w:r>
      <w:proofErr w:type="spellEnd"/>
      <w:r>
        <w:rPr>
          <w:rFonts w:eastAsia="Times New Roman"/>
          <w:szCs w:val="24"/>
          <w:lang w:val="en" w:eastAsia="es-ES"/>
        </w:rPr>
        <w:t xml:space="preserve"> (Illumina) in order to assure that sequences were properly cloned</w:t>
      </w:r>
      <w:r w:rsidRPr="00424433">
        <w:rPr>
          <w:rFonts w:eastAsia="Times New Roman"/>
          <w:szCs w:val="24"/>
          <w:lang w:val="en" w:eastAsia="es-ES"/>
        </w:rPr>
        <w:t xml:space="preserve">. </w:t>
      </w:r>
      <w:r>
        <w:rPr>
          <w:rStyle w:val="hps"/>
          <w:lang w:val="en"/>
        </w:rPr>
        <w:t>P</w:t>
      </w:r>
      <w:r w:rsidRPr="003C6BF6">
        <w:rPr>
          <w:rStyle w:val="hps"/>
          <w:lang w:val="en"/>
        </w:rPr>
        <w:t>rimers</w:t>
      </w:r>
      <w:r>
        <w:rPr>
          <w:rStyle w:val="hps"/>
          <w:lang w:val="en"/>
        </w:rPr>
        <w:t xml:space="preserve"> for Site-Directed Mutagenesis</w:t>
      </w:r>
      <w:r w:rsidRPr="003C6BF6">
        <w:rPr>
          <w:rStyle w:val="hps"/>
          <w:lang w:val="en"/>
        </w:rPr>
        <w:t xml:space="preserve"> </w:t>
      </w:r>
      <w:r>
        <w:rPr>
          <w:rStyle w:val="hps"/>
          <w:lang w:val="en"/>
        </w:rPr>
        <w:t>were designed using</w:t>
      </w:r>
      <w:r>
        <w:rPr>
          <w:lang w:val="en"/>
        </w:rPr>
        <w:t xml:space="preserve"> </w:t>
      </w:r>
      <w:r>
        <w:rPr>
          <w:rStyle w:val="hps"/>
          <w:lang w:val="en"/>
        </w:rPr>
        <w:t xml:space="preserve">the </w:t>
      </w:r>
      <w:proofErr w:type="spellStart"/>
      <w:r>
        <w:rPr>
          <w:rStyle w:val="hps"/>
          <w:lang w:val="en"/>
        </w:rPr>
        <w:t>PrimerX</w:t>
      </w:r>
      <w:proofErr w:type="spellEnd"/>
      <w:r>
        <w:rPr>
          <w:rStyle w:val="hps"/>
          <w:lang w:val="en"/>
        </w:rPr>
        <w:t xml:space="preserve"> software. Site-Directed Mutagenesis</w:t>
      </w:r>
      <w:r w:rsidRPr="003C6BF6">
        <w:rPr>
          <w:rStyle w:val="hps"/>
          <w:lang w:val="en"/>
        </w:rPr>
        <w:t xml:space="preserve"> </w:t>
      </w:r>
      <w:r>
        <w:rPr>
          <w:rStyle w:val="hps"/>
          <w:lang w:val="en"/>
        </w:rPr>
        <w:t xml:space="preserve">was performed using </w:t>
      </w:r>
      <w:proofErr w:type="spellStart"/>
      <w:r>
        <w:rPr>
          <w:rStyle w:val="hps"/>
          <w:lang w:val="en"/>
        </w:rPr>
        <w:t>GeneArt</w:t>
      </w:r>
      <w:proofErr w:type="spellEnd"/>
      <w:r>
        <w:rPr>
          <w:rStyle w:val="hps"/>
          <w:lang w:val="en"/>
        </w:rPr>
        <w:t xml:space="preserve"> PLUS Kit ®Site-Directed (</w:t>
      </w:r>
      <w:proofErr w:type="spellStart"/>
      <w:r w:rsidRPr="00D66430">
        <w:rPr>
          <w:rStyle w:val="hps"/>
          <w:lang w:val="en"/>
        </w:rPr>
        <w:t>Thermo</w:t>
      </w:r>
      <w:proofErr w:type="spellEnd"/>
      <w:r w:rsidRPr="00D66430">
        <w:rPr>
          <w:rStyle w:val="hps"/>
          <w:lang w:val="en"/>
        </w:rPr>
        <w:t xml:space="preserve"> Fisher Scientific</w:t>
      </w:r>
      <w:r>
        <w:rPr>
          <w:rStyle w:val="hps"/>
          <w:lang w:val="en"/>
        </w:rPr>
        <w:t>)</w:t>
      </w:r>
      <w:r w:rsidRPr="00D36332">
        <w:rPr>
          <w:lang w:val="en"/>
        </w:rPr>
        <w:t xml:space="preserve"> </w:t>
      </w:r>
      <w:r>
        <w:rPr>
          <w:rStyle w:val="hps"/>
          <w:lang w:val="en"/>
        </w:rPr>
        <w:t>t</w:t>
      </w:r>
      <w:r w:rsidRPr="00D36332">
        <w:rPr>
          <w:rStyle w:val="hps"/>
          <w:lang w:val="en"/>
        </w:rPr>
        <w:t xml:space="preserve">o obtain the </w:t>
      </w:r>
      <w:r>
        <w:rPr>
          <w:rStyle w:val="hps"/>
          <w:lang w:val="en"/>
        </w:rPr>
        <w:t xml:space="preserve">mutant </w:t>
      </w:r>
      <w:r w:rsidRPr="00D36332">
        <w:rPr>
          <w:rStyle w:val="hps"/>
          <w:lang w:val="en"/>
        </w:rPr>
        <w:t xml:space="preserve">plasmid </w:t>
      </w:r>
      <w:r>
        <w:rPr>
          <w:lang w:val="en"/>
        </w:rPr>
        <w:t>(pSCN1A-mut)</w:t>
      </w:r>
      <w:r>
        <w:rPr>
          <w:rStyle w:val="hps"/>
          <w:lang w:val="en"/>
        </w:rPr>
        <w:t>.</w:t>
      </w:r>
      <w:r w:rsidRPr="00C72B11">
        <w:rPr>
          <w:lang w:val="en"/>
        </w:rPr>
        <w:t xml:space="preserve"> </w:t>
      </w:r>
      <w:r>
        <w:rPr>
          <w:rStyle w:val="hps"/>
          <w:lang w:val="en"/>
        </w:rPr>
        <w:t xml:space="preserve">The pSCN1A-mut </w:t>
      </w:r>
      <w:r w:rsidRPr="00C72B11">
        <w:rPr>
          <w:rStyle w:val="hps"/>
          <w:lang w:val="en"/>
        </w:rPr>
        <w:t xml:space="preserve">was </w:t>
      </w:r>
      <w:r>
        <w:rPr>
          <w:rFonts w:eastAsia="Times New Roman"/>
          <w:szCs w:val="24"/>
          <w:lang w:val="en" w:eastAsia="es-ES"/>
        </w:rPr>
        <w:t xml:space="preserve">submitted to sequencing on a </w:t>
      </w:r>
      <w:proofErr w:type="spellStart"/>
      <w:r>
        <w:rPr>
          <w:rFonts w:eastAsia="Times New Roman"/>
          <w:szCs w:val="24"/>
          <w:lang w:val="en" w:eastAsia="es-ES"/>
        </w:rPr>
        <w:t>Miseq</w:t>
      </w:r>
      <w:proofErr w:type="spellEnd"/>
      <w:r>
        <w:rPr>
          <w:rStyle w:val="hps"/>
          <w:lang w:val="en"/>
        </w:rPr>
        <w:t xml:space="preserve"> </w:t>
      </w:r>
      <w:r w:rsidRPr="00C72B11">
        <w:rPr>
          <w:rStyle w:val="hps"/>
          <w:lang w:val="en"/>
        </w:rPr>
        <w:t xml:space="preserve">to </w:t>
      </w:r>
      <w:r>
        <w:rPr>
          <w:rStyle w:val="hps"/>
          <w:lang w:val="en"/>
        </w:rPr>
        <w:t xml:space="preserve">confirm if </w:t>
      </w:r>
      <w:r w:rsidRPr="00C72B11">
        <w:rPr>
          <w:rStyle w:val="hps"/>
          <w:lang w:val="en"/>
        </w:rPr>
        <w:t>mutation</w:t>
      </w:r>
      <w:r>
        <w:rPr>
          <w:rStyle w:val="hps"/>
          <w:lang w:val="en"/>
        </w:rPr>
        <w:t xml:space="preserve"> </w:t>
      </w:r>
      <w:r w:rsidRPr="00AF1AEF">
        <w:rPr>
          <w:lang w:val="en-US"/>
        </w:rPr>
        <w:t>c.5329delG</w:t>
      </w:r>
      <w:r>
        <w:rPr>
          <w:lang w:val="en-US"/>
        </w:rPr>
        <w:t xml:space="preserve"> </w:t>
      </w:r>
      <w:r>
        <w:rPr>
          <w:rStyle w:val="hps"/>
          <w:lang w:val="en"/>
        </w:rPr>
        <w:t>was properly inserted.</w:t>
      </w:r>
      <w:r>
        <w:rPr>
          <w:lang w:val="en"/>
        </w:rPr>
        <w:t xml:space="preserve"> Thereafter</w:t>
      </w:r>
      <w:r w:rsidRPr="00482CBC">
        <w:rPr>
          <w:rStyle w:val="hps"/>
          <w:lang w:val="en"/>
        </w:rPr>
        <w:t xml:space="preserve">, the </w:t>
      </w:r>
      <w:r>
        <w:rPr>
          <w:rStyle w:val="hps"/>
          <w:lang w:val="en"/>
        </w:rPr>
        <w:t xml:space="preserve">wild type </w:t>
      </w:r>
      <w:r w:rsidRPr="00482CBC">
        <w:rPr>
          <w:rStyle w:val="hps"/>
          <w:i/>
          <w:lang w:val="en"/>
        </w:rPr>
        <w:t>SCN1A</w:t>
      </w:r>
      <w:r w:rsidRPr="00482CBC">
        <w:rPr>
          <w:rStyle w:val="hps"/>
          <w:lang w:val="en"/>
        </w:rPr>
        <w:t xml:space="preserve">, </w:t>
      </w:r>
      <w:r w:rsidRPr="00482CBC">
        <w:rPr>
          <w:rStyle w:val="hps"/>
          <w:i/>
          <w:lang w:val="en"/>
        </w:rPr>
        <w:t>SCN1B</w:t>
      </w:r>
      <w:r w:rsidRPr="00482CBC">
        <w:rPr>
          <w:rStyle w:val="hps"/>
          <w:lang w:val="en"/>
        </w:rPr>
        <w:t xml:space="preserve"> and </w:t>
      </w:r>
      <w:r w:rsidRPr="00482CBC">
        <w:rPr>
          <w:rStyle w:val="hps"/>
          <w:i/>
          <w:lang w:val="en"/>
        </w:rPr>
        <w:t>SCN2B</w:t>
      </w:r>
      <w:r w:rsidRPr="00482CBC">
        <w:rPr>
          <w:rStyle w:val="hps"/>
          <w:lang w:val="en"/>
        </w:rPr>
        <w:t xml:space="preserve"> recombinant pla</w:t>
      </w:r>
      <w:r>
        <w:rPr>
          <w:rStyle w:val="hps"/>
          <w:lang w:val="en"/>
        </w:rPr>
        <w:t>s</w:t>
      </w:r>
      <w:r w:rsidRPr="00482CBC">
        <w:rPr>
          <w:rStyle w:val="hps"/>
          <w:lang w:val="en"/>
        </w:rPr>
        <w:t>mids were co-transfected into the TSA201 cell line</w:t>
      </w:r>
      <w:r>
        <w:rPr>
          <w:rStyle w:val="hps"/>
          <w:lang w:val="en"/>
        </w:rPr>
        <w:t>.</w:t>
      </w:r>
      <w:r w:rsidRPr="00F84975">
        <w:rPr>
          <w:lang w:val="en"/>
        </w:rPr>
        <w:t xml:space="preserve"> </w:t>
      </w:r>
      <w:r>
        <w:rPr>
          <w:rStyle w:val="hps"/>
          <w:lang w:val="en"/>
        </w:rPr>
        <w:t xml:space="preserve">In addition, pSCN1A-mut was co-transfected with wild type </w:t>
      </w:r>
      <w:r w:rsidRPr="00F84975">
        <w:rPr>
          <w:rStyle w:val="hps"/>
          <w:i/>
          <w:lang w:val="en"/>
        </w:rPr>
        <w:t>SCN1B</w:t>
      </w:r>
      <w:r w:rsidRPr="00F84975">
        <w:rPr>
          <w:rStyle w:val="hps"/>
          <w:lang w:val="en"/>
        </w:rPr>
        <w:t xml:space="preserve"> and </w:t>
      </w:r>
      <w:r w:rsidRPr="00F84975">
        <w:rPr>
          <w:rStyle w:val="hps"/>
          <w:i/>
          <w:lang w:val="en"/>
        </w:rPr>
        <w:t>SCN2B</w:t>
      </w:r>
      <w:r w:rsidRPr="00F84975">
        <w:rPr>
          <w:rStyle w:val="hps"/>
          <w:lang w:val="en"/>
        </w:rPr>
        <w:t xml:space="preserve"> </w:t>
      </w:r>
      <w:r>
        <w:rPr>
          <w:rStyle w:val="hps"/>
          <w:lang w:val="en"/>
        </w:rPr>
        <w:t xml:space="preserve">plasmids into the </w:t>
      </w:r>
      <w:r w:rsidRPr="00482CBC">
        <w:rPr>
          <w:rStyle w:val="hps"/>
          <w:lang w:val="en"/>
        </w:rPr>
        <w:t>TSA201 cell line</w:t>
      </w:r>
      <w:r>
        <w:rPr>
          <w:rStyle w:val="hps"/>
          <w:lang w:val="en"/>
        </w:rPr>
        <w:t>.</w:t>
      </w:r>
    </w:p>
    <w:p w:rsidR="00E326AF" w:rsidRPr="000557A7" w:rsidRDefault="00E326AF" w:rsidP="00263FB4">
      <w:pPr>
        <w:rPr>
          <w:lang w:val="en-US"/>
        </w:rPr>
      </w:pPr>
    </w:p>
    <w:p w:rsidR="00E326AF" w:rsidRPr="001E0B38" w:rsidRDefault="00E326AF" w:rsidP="00E326AF">
      <w:pPr>
        <w:textAlignment w:val="baseline"/>
        <w:rPr>
          <w:rFonts w:cs="Arial"/>
          <w:b/>
          <w:bCs/>
          <w:bdr w:val="none" w:sz="0" w:space="0" w:color="auto" w:frame="1"/>
          <w:lang w:val="en-US"/>
        </w:rPr>
      </w:pPr>
      <w:r w:rsidRPr="001E0B38">
        <w:rPr>
          <w:rFonts w:cs="Arial"/>
          <w:b/>
          <w:bCs/>
          <w:bdr w:val="none" w:sz="0" w:space="0" w:color="auto" w:frame="1"/>
          <w:lang w:val="en-US"/>
        </w:rPr>
        <w:t>R</w:t>
      </w:r>
      <w:bookmarkStart w:id="0" w:name="_GoBack"/>
      <w:r w:rsidR="004B1386" w:rsidRPr="001E0B38">
        <w:rPr>
          <w:rFonts w:cs="Arial"/>
          <w:b/>
          <w:bCs/>
          <w:bdr w:val="none" w:sz="0" w:space="0" w:color="auto" w:frame="1"/>
          <w:lang w:val="en-US"/>
        </w:rPr>
        <w:t>elevance</w:t>
      </w:r>
      <w:bookmarkEnd w:id="0"/>
    </w:p>
    <w:p w:rsidR="00263FB4" w:rsidRDefault="007877B0" w:rsidP="007877B0">
      <w:pPr>
        <w:rPr>
          <w:rStyle w:val="hps"/>
          <w:lang w:val="en"/>
        </w:rPr>
      </w:pPr>
      <w:r w:rsidRPr="007877B0">
        <w:rPr>
          <w:rStyle w:val="hps"/>
          <w:lang w:val="en"/>
        </w:rPr>
        <w:t xml:space="preserve">Nav1.1 functional studies (as well as of other ion channels) are important both to confirm results that were previously predicted exclusively by in </w:t>
      </w:r>
      <w:proofErr w:type="spellStart"/>
      <w:r w:rsidRPr="007877B0">
        <w:rPr>
          <w:rStyle w:val="hps"/>
          <w:lang w:val="en"/>
        </w:rPr>
        <w:t>silico</w:t>
      </w:r>
      <w:proofErr w:type="spellEnd"/>
      <w:r w:rsidRPr="007877B0">
        <w:rPr>
          <w:rStyle w:val="hps"/>
          <w:lang w:val="en"/>
        </w:rPr>
        <w:t xml:space="preserve"> analysis and to characterize mutations which could not be classified by bioinformatics tools.  We expect that our results will not only help to improve molecular diagnosis of patients with DS an, but will also help us to better understand the </w:t>
      </w:r>
      <w:proofErr w:type="spellStart"/>
      <w:r w:rsidRPr="007877B0">
        <w:rPr>
          <w:rStyle w:val="hps"/>
          <w:lang w:val="en"/>
        </w:rPr>
        <w:t>repercution</w:t>
      </w:r>
      <w:proofErr w:type="spellEnd"/>
      <w:r w:rsidRPr="007877B0">
        <w:rPr>
          <w:rStyle w:val="hps"/>
          <w:lang w:val="en"/>
        </w:rPr>
        <w:t xml:space="preserve"> of genetic variability (both normal and pathological) in the </w:t>
      </w:r>
      <w:proofErr w:type="spellStart"/>
      <w:r w:rsidRPr="007877B0">
        <w:rPr>
          <w:rStyle w:val="hps"/>
          <w:lang w:val="en"/>
        </w:rPr>
        <w:t>functionl</w:t>
      </w:r>
      <w:proofErr w:type="spellEnd"/>
      <w:r w:rsidRPr="007877B0">
        <w:rPr>
          <w:rStyle w:val="hps"/>
          <w:lang w:val="en"/>
        </w:rPr>
        <w:t xml:space="preserve"> aspects of Nav1.1 sodium channels and other epilepsy-related ion channels.</w:t>
      </w:r>
    </w:p>
    <w:p w:rsidR="00AA5D48" w:rsidRPr="007877B0" w:rsidRDefault="00AA5D48" w:rsidP="007877B0">
      <w:pPr>
        <w:rPr>
          <w:rStyle w:val="hps"/>
          <w:lang w:val="en"/>
        </w:rPr>
      </w:pPr>
    </w:p>
    <w:p w:rsidR="00F11B94" w:rsidRPr="00F11B94" w:rsidRDefault="00263FB4" w:rsidP="00F11B94">
      <w:pPr>
        <w:rPr>
          <w:lang w:val="en-US"/>
        </w:rPr>
      </w:pPr>
      <w:r w:rsidRPr="00102007">
        <w:rPr>
          <w:b/>
          <w:lang w:val="en-US"/>
        </w:rPr>
        <w:t xml:space="preserve">References: </w:t>
      </w:r>
      <w:r w:rsidR="00065A77">
        <w:rPr>
          <w:lang w:val="en-US"/>
        </w:rPr>
        <w:t xml:space="preserve">1. </w:t>
      </w:r>
      <w:proofErr w:type="spellStart"/>
      <w:r w:rsidR="00065A77">
        <w:rPr>
          <w:lang w:val="en-US"/>
        </w:rPr>
        <w:t>Meng</w:t>
      </w:r>
      <w:proofErr w:type="spellEnd"/>
      <w:r w:rsidR="00065A77">
        <w:rPr>
          <w:lang w:val="en-US"/>
        </w:rPr>
        <w:t xml:space="preserve"> H, </w:t>
      </w:r>
      <w:r w:rsidR="009155B2" w:rsidRPr="00F11B94">
        <w:rPr>
          <w:lang w:val="en-US"/>
        </w:rPr>
        <w:t>et al.</w:t>
      </w:r>
      <w:r w:rsidR="00725453">
        <w:rPr>
          <w:lang w:val="en-US"/>
        </w:rPr>
        <w:t xml:space="preserve"> Hum </w:t>
      </w:r>
      <w:proofErr w:type="spellStart"/>
      <w:r w:rsidR="00725453">
        <w:rPr>
          <w:lang w:val="en-US"/>
        </w:rPr>
        <w:t>Mutat</w:t>
      </w:r>
      <w:proofErr w:type="spellEnd"/>
      <w:r w:rsidR="00725453">
        <w:rPr>
          <w:lang w:val="en-US"/>
        </w:rPr>
        <w:t xml:space="preserve"> 6(6):573-80,</w:t>
      </w:r>
      <w:r w:rsidR="00725453" w:rsidRPr="00725453">
        <w:rPr>
          <w:lang w:val="en-US"/>
        </w:rPr>
        <w:t xml:space="preserve"> </w:t>
      </w:r>
      <w:r w:rsidR="00725453" w:rsidRPr="00F11B94">
        <w:rPr>
          <w:lang w:val="en-US"/>
        </w:rPr>
        <w:t>2015</w:t>
      </w:r>
      <w:r w:rsidR="00725453">
        <w:rPr>
          <w:lang w:val="en-US"/>
        </w:rPr>
        <w:t>.</w:t>
      </w:r>
    </w:p>
    <w:p w:rsidR="00263FB4" w:rsidRPr="00F11B94" w:rsidRDefault="00065A77" w:rsidP="00F11B94">
      <w:pPr>
        <w:rPr>
          <w:lang w:val="en-US"/>
        </w:rPr>
      </w:pPr>
      <w:r>
        <w:rPr>
          <w:lang w:val="en-US"/>
        </w:rPr>
        <w:t xml:space="preserve">2. </w:t>
      </w:r>
      <w:proofErr w:type="spellStart"/>
      <w:r>
        <w:rPr>
          <w:lang w:val="en-US"/>
        </w:rPr>
        <w:t>MCa</w:t>
      </w:r>
      <w:proofErr w:type="spellEnd"/>
      <w:r>
        <w:rPr>
          <w:lang w:val="en-US"/>
        </w:rPr>
        <w:t xml:space="preserve"> G,</w:t>
      </w:r>
      <w:r w:rsidRPr="00065A77">
        <w:rPr>
          <w:lang w:val="en-US"/>
        </w:rPr>
        <w:t xml:space="preserve"> </w:t>
      </w:r>
      <w:r w:rsidR="009155B2" w:rsidRPr="00F11B94">
        <w:rPr>
          <w:lang w:val="en-US"/>
        </w:rPr>
        <w:t>et al.</w:t>
      </w:r>
      <w:r w:rsidR="00725453">
        <w:rPr>
          <w:lang w:val="en-US"/>
        </w:rPr>
        <w:t xml:space="preserve"> J Epilepsy 18(2):60-2,</w:t>
      </w:r>
      <w:r w:rsidR="00725453" w:rsidRPr="00725453">
        <w:rPr>
          <w:lang w:val="en-US"/>
        </w:rPr>
        <w:t xml:space="preserve"> </w:t>
      </w:r>
      <w:r w:rsidR="00725453" w:rsidRPr="00F11B94">
        <w:rPr>
          <w:lang w:val="en-US"/>
        </w:rPr>
        <w:t>2012</w:t>
      </w:r>
      <w:r w:rsidR="00725453">
        <w:rPr>
          <w:lang w:val="en-US"/>
        </w:rPr>
        <w:t>.</w:t>
      </w:r>
    </w:p>
    <w:sectPr w:rsidR="00263FB4" w:rsidRPr="00F11B94"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AE" w:rsidRDefault="00E364AE" w:rsidP="00743343">
      <w:r>
        <w:separator/>
      </w:r>
    </w:p>
  </w:endnote>
  <w:endnote w:type="continuationSeparator" w:id="0">
    <w:p w:rsidR="00E364AE" w:rsidRDefault="00E364AE"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AE" w:rsidRDefault="00E364AE" w:rsidP="00743343">
      <w:r>
        <w:separator/>
      </w:r>
    </w:p>
  </w:footnote>
  <w:footnote w:type="continuationSeparator" w:id="0">
    <w:p w:rsidR="00E364AE" w:rsidRDefault="00E364AE" w:rsidP="007433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43" w:rsidRPr="000557A7" w:rsidRDefault="00BF02FC" w:rsidP="000557A7">
    <w:pPr>
      <w:pStyle w:val="Cabealho"/>
      <w:jc w:val="right"/>
      <w:rPr>
        <w:rFonts w:asciiTheme="minorHAnsi" w:hAnsiTheme="minorHAnsi"/>
        <w:lang w:val="en-US"/>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val="es-ES" w:eastAsia="es-E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2NzEwNbYwNTc2MzdS0lEKTi0uzszPAykwrAUAyUMNtiwAAAA="/>
  </w:docVars>
  <w:rsids>
    <w:rsidRoot w:val="002F1EA5"/>
    <w:rsid w:val="0003597F"/>
    <w:rsid w:val="00042C87"/>
    <w:rsid w:val="0005007B"/>
    <w:rsid w:val="000557A7"/>
    <w:rsid w:val="00065A77"/>
    <w:rsid w:val="00071DAD"/>
    <w:rsid w:val="000D4088"/>
    <w:rsid w:val="00102007"/>
    <w:rsid w:val="001137E3"/>
    <w:rsid w:val="00193597"/>
    <w:rsid w:val="00262DE0"/>
    <w:rsid w:val="00263FB4"/>
    <w:rsid w:val="00264FBA"/>
    <w:rsid w:val="002C3BE6"/>
    <w:rsid w:val="002E5535"/>
    <w:rsid w:val="002F1EA5"/>
    <w:rsid w:val="003513A8"/>
    <w:rsid w:val="00391D25"/>
    <w:rsid w:val="003B0DB9"/>
    <w:rsid w:val="003F4AD0"/>
    <w:rsid w:val="004061C0"/>
    <w:rsid w:val="00463BB7"/>
    <w:rsid w:val="004647A5"/>
    <w:rsid w:val="00493703"/>
    <w:rsid w:val="0049470E"/>
    <w:rsid w:val="00495481"/>
    <w:rsid w:val="004B1386"/>
    <w:rsid w:val="004B1FF3"/>
    <w:rsid w:val="004D3FC7"/>
    <w:rsid w:val="005E1B59"/>
    <w:rsid w:val="00661827"/>
    <w:rsid w:val="006B1D6D"/>
    <w:rsid w:val="006D2B50"/>
    <w:rsid w:val="00725453"/>
    <w:rsid w:val="00743343"/>
    <w:rsid w:val="007877B0"/>
    <w:rsid w:val="007B35CF"/>
    <w:rsid w:val="00832B02"/>
    <w:rsid w:val="009155B2"/>
    <w:rsid w:val="00A25F3B"/>
    <w:rsid w:val="00AA5D48"/>
    <w:rsid w:val="00AD5A4B"/>
    <w:rsid w:val="00B04BD1"/>
    <w:rsid w:val="00B52F14"/>
    <w:rsid w:val="00B64A0D"/>
    <w:rsid w:val="00B85F09"/>
    <w:rsid w:val="00BF02FC"/>
    <w:rsid w:val="00C171DE"/>
    <w:rsid w:val="00C8331A"/>
    <w:rsid w:val="00C85417"/>
    <w:rsid w:val="00CF2D5C"/>
    <w:rsid w:val="00D3622B"/>
    <w:rsid w:val="00E24564"/>
    <w:rsid w:val="00E326AF"/>
    <w:rsid w:val="00E364AE"/>
    <w:rsid w:val="00E50AB8"/>
    <w:rsid w:val="00EA6C72"/>
    <w:rsid w:val="00F11B94"/>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BC8D-3267-4D78-B06A-E5843DE6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hps">
    <w:name w:val="hps"/>
    <w:basedOn w:val="Fontepargpadro"/>
    <w:rsid w:val="0019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Saúl Lindo Samanamud</cp:lastModifiedBy>
  <cp:revision>3</cp:revision>
  <dcterms:created xsi:type="dcterms:W3CDTF">2017-03-14T14:23:00Z</dcterms:created>
  <dcterms:modified xsi:type="dcterms:W3CDTF">2017-03-14T14:29:00Z</dcterms:modified>
</cp:coreProperties>
</file>