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3F" w:rsidRDefault="00934D3F" w:rsidP="002F1EA5">
      <w:pPr>
        <w:jc w:val="center"/>
        <w:rPr>
          <w:b/>
          <w:sz w:val="28"/>
          <w:szCs w:val="28"/>
        </w:rPr>
      </w:pPr>
      <w:r w:rsidRPr="00934D3F">
        <w:rPr>
          <w:b/>
          <w:sz w:val="28"/>
          <w:szCs w:val="28"/>
        </w:rPr>
        <w:t>Hippocampal Volume and Functional Connectivity Predicts Functi</w:t>
      </w:r>
      <w:r w:rsidR="003D308D">
        <w:rPr>
          <w:b/>
          <w:sz w:val="28"/>
          <w:szCs w:val="28"/>
        </w:rPr>
        <w:t>onal Decline in Mild AD and aMCI</w:t>
      </w:r>
    </w:p>
    <w:p w:rsidR="001C17D6" w:rsidRPr="00934D3F" w:rsidRDefault="001C17D6" w:rsidP="002F1EA5">
      <w:pPr>
        <w:jc w:val="center"/>
        <w:rPr>
          <w:b/>
          <w:sz w:val="28"/>
          <w:szCs w:val="28"/>
          <w:lang w:val="en-US"/>
        </w:rPr>
      </w:pPr>
    </w:p>
    <w:p w:rsidR="002F1EA5" w:rsidRPr="002D7F8E" w:rsidRDefault="00DB5688" w:rsidP="002F1EA5">
      <w:pPr>
        <w:jc w:val="center"/>
        <w:rPr>
          <w:color w:val="FF0000"/>
          <w:szCs w:val="24"/>
          <w:lang w:val="en-US"/>
        </w:rPr>
      </w:pPr>
      <w:r w:rsidRPr="002D7F8E">
        <w:rPr>
          <w:szCs w:val="24"/>
          <w:lang w:val="en-US"/>
        </w:rPr>
        <w:t>N. Lecce</w:t>
      </w:r>
      <w:r w:rsidR="00E908DC" w:rsidRPr="002F1EA5">
        <w:rPr>
          <w:vertAlign w:val="superscript"/>
          <w:lang w:val="en-US"/>
        </w:rPr>
        <w:t>1</w:t>
      </w:r>
      <w:r w:rsidRPr="002D7F8E">
        <w:rPr>
          <w:szCs w:val="24"/>
          <w:lang w:val="en-US"/>
        </w:rPr>
        <w:t>, C. V. L. Teixeira</w:t>
      </w:r>
      <w:r w:rsidR="00E908DC" w:rsidRPr="002F1EA5">
        <w:rPr>
          <w:vertAlign w:val="superscript"/>
          <w:lang w:val="en-US"/>
        </w:rPr>
        <w:t>1</w:t>
      </w:r>
      <w:r w:rsidRPr="002D7F8E">
        <w:rPr>
          <w:szCs w:val="24"/>
          <w:lang w:val="en-US"/>
        </w:rPr>
        <w:t>, T. N. C. Magalhães</w:t>
      </w:r>
      <w:r w:rsidR="00E908DC" w:rsidRPr="002F1EA5">
        <w:rPr>
          <w:vertAlign w:val="superscript"/>
          <w:lang w:val="en-US"/>
        </w:rPr>
        <w:t>1</w:t>
      </w:r>
      <w:r w:rsidRPr="002D7F8E">
        <w:rPr>
          <w:szCs w:val="24"/>
          <w:lang w:val="en-US"/>
        </w:rPr>
        <w:t xml:space="preserve">, </w:t>
      </w:r>
      <w:r w:rsidR="002D7F8E">
        <w:rPr>
          <w:szCs w:val="24"/>
          <w:lang w:val="en-US"/>
        </w:rPr>
        <w:t>A. F.</w:t>
      </w:r>
      <w:r w:rsidRPr="002D7F8E">
        <w:rPr>
          <w:szCs w:val="24"/>
          <w:lang w:val="en-US"/>
        </w:rPr>
        <w:t xml:space="preserve"> M</w:t>
      </w:r>
      <w:r w:rsidR="002D7F8E">
        <w:rPr>
          <w:szCs w:val="24"/>
          <w:lang w:val="en-US"/>
        </w:rPr>
        <w:t>.</w:t>
      </w:r>
      <w:r w:rsidRPr="002D7F8E">
        <w:rPr>
          <w:szCs w:val="24"/>
          <w:lang w:val="en-US"/>
        </w:rPr>
        <w:t xml:space="preserve"> K</w:t>
      </w:r>
      <w:r w:rsidR="002D7F8E">
        <w:rPr>
          <w:szCs w:val="24"/>
          <w:lang w:val="en-US"/>
        </w:rPr>
        <w:t>.</w:t>
      </w:r>
      <w:r w:rsidRPr="002D7F8E">
        <w:rPr>
          <w:szCs w:val="24"/>
          <w:lang w:val="en-US"/>
        </w:rPr>
        <w:t xml:space="preserve"> C</w:t>
      </w:r>
      <w:r w:rsidR="002D7F8E">
        <w:rPr>
          <w:szCs w:val="24"/>
          <w:lang w:val="en-US"/>
        </w:rPr>
        <w:t>.</w:t>
      </w:r>
      <w:r w:rsidRPr="002D7F8E">
        <w:rPr>
          <w:szCs w:val="24"/>
          <w:lang w:val="en-US"/>
        </w:rPr>
        <w:t xml:space="preserve"> Cassani</w:t>
      </w:r>
      <w:r w:rsidR="00E908DC" w:rsidRPr="002F1EA5">
        <w:rPr>
          <w:vertAlign w:val="superscript"/>
          <w:lang w:val="en-US"/>
        </w:rPr>
        <w:t>1</w:t>
      </w:r>
      <w:r w:rsidRPr="002D7F8E">
        <w:rPr>
          <w:szCs w:val="24"/>
          <w:lang w:val="en-US"/>
        </w:rPr>
        <w:t xml:space="preserve">, </w:t>
      </w:r>
      <w:r w:rsidR="002D7F8E">
        <w:rPr>
          <w:szCs w:val="24"/>
          <w:lang w:val="en-US"/>
        </w:rPr>
        <w:t>M.</w:t>
      </w:r>
      <w:r w:rsidRPr="002D7F8E">
        <w:rPr>
          <w:szCs w:val="24"/>
          <w:lang w:val="en-US"/>
        </w:rPr>
        <w:t xml:space="preserve"> Weiler</w:t>
      </w:r>
      <w:r w:rsidR="00E908DC" w:rsidRPr="002F1EA5">
        <w:rPr>
          <w:vertAlign w:val="superscript"/>
          <w:lang w:val="en-US"/>
        </w:rPr>
        <w:t>1</w:t>
      </w:r>
      <w:r w:rsidRPr="002D7F8E">
        <w:rPr>
          <w:szCs w:val="24"/>
          <w:lang w:val="en-US"/>
        </w:rPr>
        <w:t xml:space="preserve">, </w:t>
      </w:r>
      <w:r w:rsidR="002D7F8E">
        <w:rPr>
          <w:szCs w:val="24"/>
          <w:lang w:val="en-US"/>
        </w:rPr>
        <w:t>B.</w:t>
      </w:r>
      <w:r w:rsidRPr="002D7F8E">
        <w:rPr>
          <w:szCs w:val="24"/>
          <w:lang w:val="en-US"/>
        </w:rPr>
        <w:t xml:space="preserve"> Campos</w:t>
      </w:r>
      <w:r w:rsidR="00E908DC" w:rsidRPr="002F1EA5">
        <w:rPr>
          <w:vertAlign w:val="superscript"/>
          <w:lang w:val="en-US"/>
        </w:rPr>
        <w:t>1</w:t>
      </w:r>
      <w:r w:rsidRPr="002D7F8E">
        <w:rPr>
          <w:szCs w:val="24"/>
          <w:lang w:val="en-US"/>
        </w:rPr>
        <w:t xml:space="preserve">, </w:t>
      </w:r>
      <w:r w:rsidR="002D7F8E">
        <w:rPr>
          <w:szCs w:val="24"/>
          <w:lang w:val="en-US"/>
        </w:rPr>
        <w:t>T. J. R.</w:t>
      </w:r>
      <w:r w:rsidRPr="002D7F8E">
        <w:rPr>
          <w:szCs w:val="24"/>
          <w:lang w:val="en-US"/>
        </w:rPr>
        <w:t xml:space="preserve"> Rezende</w:t>
      </w:r>
      <w:r w:rsidR="00E908DC" w:rsidRPr="002F1EA5">
        <w:rPr>
          <w:vertAlign w:val="superscript"/>
          <w:lang w:val="en-US"/>
        </w:rPr>
        <w:t>1</w:t>
      </w:r>
      <w:r w:rsidRPr="002D7F8E">
        <w:rPr>
          <w:szCs w:val="24"/>
          <w:lang w:val="en-US"/>
        </w:rPr>
        <w:t xml:space="preserve">, </w:t>
      </w:r>
      <w:r w:rsidR="002D7F8E">
        <w:rPr>
          <w:szCs w:val="24"/>
          <w:lang w:val="en-US"/>
        </w:rPr>
        <w:t>L. L.</w:t>
      </w:r>
      <w:r w:rsidRPr="002D7F8E">
        <w:rPr>
          <w:szCs w:val="24"/>
          <w:lang w:val="en-US"/>
        </w:rPr>
        <w:t xml:space="preserve"> Talib</w:t>
      </w:r>
      <w:r w:rsidR="00E908DC" w:rsidRPr="002F1EA5">
        <w:rPr>
          <w:vertAlign w:val="superscript"/>
          <w:lang w:val="en-US"/>
        </w:rPr>
        <w:t>2</w:t>
      </w:r>
      <w:r w:rsidRPr="002D7F8E">
        <w:rPr>
          <w:szCs w:val="24"/>
          <w:lang w:val="en-US"/>
        </w:rPr>
        <w:t xml:space="preserve">, </w:t>
      </w:r>
      <w:r w:rsidR="002D7F8E">
        <w:rPr>
          <w:szCs w:val="24"/>
          <w:lang w:val="en-US"/>
        </w:rPr>
        <w:t>O. V.</w:t>
      </w:r>
      <w:r w:rsidRPr="002D7F8E">
        <w:rPr>
          <w:szCs w:val="24"/>
          <w:lang w:val="en-US"/>
        </w:rPr>
        <w:t xml:space="preserve"> Forlenza</w:t>
      </w:r>
      <w:r w:rsidR="00E908DC" w:rsidRPr="002F1EA5">
        <w:rPr>
          <w:vertAlign w:val="superscript"/>
          <w:lang w:val="en-US"/>
        </w:rPr>
        <w:t>2</w:t>
      </w:r>
      <w:r w:rsidRPr="002D7F8E">
        <w:rPr>
          <w:szCs w:val="24"/>
          <w:lang w:val="en-US"/>
        </w:rPr>
        <w:t xml:space="preserve">, </w:t>
      </w:r>
      <w:r w:rsidR="002D7F8E">
        <w:rPr>
          <w:szCs w:val="24"/>
          <w:lang w:val="en-US"/>
        </w:rPr>
        <w:t>F.</w:t>
      </w:r>
      <w:r w:rsidRPr="002D7F8E">
        <w:rPr>
          <w:szCs w:val="24"/>
          <w:lang w:val="en-US"/>
        </w:rPr>
        <w:t xml:space="preserve"> Cendes</w:t>
      </w:r>
      <w:r w:rsidR="00E908DC" w:rsidRPr="002F1EA5">
        <w:rPr>
          <w:vertAlign w:val="superscript"/>
          <w:lang w:val="en-US"/>
        </w:rPr>
        <w:t>1</w:t>
      </w:r>
      <w:r w:rsidRPr="002D7F8E">
        <w:rPr>
          <w:szCs w:val="24"/>
          <w:lang w:val="en-US"/>
        </w:rPr>
        <w:t xml:space="preserve">, </w:t>
      </w:r>
      <w:r w:rsidR="0058066C">
        <w:rPr>
          <w:szCs w:val="24"/>
          <w:lang w:val="en-US"/>
        </w:rPr>
        <w:t>M. L. F.</w:t>
      </w:r>
      <w:r w:rsidR="002D7F8E" w:rsidRPr="002D7F8E">
        <w:rPr>
          <w:szCs w:val="24"/>
          <w:lang w:val="en-US"/>
        </w:rPr>
        <w:t xml:space="preserve"> Balthazar</w:t>
      </w:r>
      <w:r w:rsidR="00E908DC" w:rsidRPr="002F1EA5">
        <w:rPr>
          <w:vertAlign w:val="superscript"/>
          <w:lang w:val="en-US"/>
        </w:rPr>
        <w:t>1</w:t>
      </w:r>
    </w:p>
    <w:p w:rsidR="0058066C" w:rsidRPr="00A921E3" w:rsidRDefault="0058066C" w:rsidP="0058066C">
      <w:pPr>
        <w:shd w:val="clear" w:color="auto" w:fill="FFFFFF"/>
        <w:rPr>
          <w:rFonts w:ascii="Segoe UI" w:eastAsia="Times New Roman" w:hAnsi="Segoe UI" w:cs="Segoe UI"/>
          <w:color w:val="212121"/>
          <w:sz w:val="20"/>
          <w:szCs w:val="20"/>
          <w:lang w:val="en-US"/>
        </w:rPr>
      </w:pPr>
      <w:r w:rsidRPr="0058066C">
        <w:rPr>
          <w:color w:val="000000"/>
          <w:sz w:val="20"/>
          <w:szCs w:val="20"/>
        </w:rPr>
        <w:t>1</w:t>
      </w:r>
      <w:r w:rsidRPr="0058066C">
        <w:rPr>
          <w:rFonts w:eastAsia="Times New Roman"/>
          <w:color w:val="212121"/>
          <w:sz w:val="20"/>
          <w:szCs w:val="20"/>
          <w:lang w:val="en-US"/>
        </w:rPr>
        <w:t>NeuroImage Laboratory, Department of Neurology, Medical Science School, UNICAMP, Campinas, Brazil</w:t>
      </w:r>
      <w:r>
        <w:rPr>
          <w:color w:val="000000"/>
          <w:sz w:val="20"/>
          <w:szCs w:val="20"/>
        </w:rPr>
        <w:t xml:space="preserve">, </w:t>
      </w:r>
      <w:r w:rsidRPr="00A921E3">
        <w:rPr>
          <w:color w:val="000000"/>
          <w:sz w:val="20"/>
          <w:szCs w:val="20"/>
        </w:rPr>
        <w:t>2</w:t>
      </w:r>
      <w:r w:rsidRPr="00A921E3">
        <w:rPr>
          <w:rFonts w:eastAsia="Times New Roman"/>
          <w:color w:val="212121"/>
          <w:sz w:val="20"/>
          <w:szCs w:val="20"/>
          <w:lang w:val="en-US"/>
        </w:rPr>
        <w:t>Laboratory of Neuroscience (LIM-27), Department and Institute of Psychiatry, Faculty of Medicine, University of Sao Paulo, Sao Paulo, SP, Brazil</w:t>
      </w:r>
    </w:p>
    <w:p w:rsidR="00E326AF" w:rsidRPr="00210086" w:rsidRDefault="00E326AF" w:rsidP="00E326AF">
      <w:pPr>
        <w:textAlignment w:val="baseline"/>
        <w:rPr>
          <w:rFonts w:cs="Arial"/>
          <w:b/>
          <w:bCs/>
          <w:sz w:val="20"/>
          <w:szCs w:val="20"/>
          <w:bdr w:val="none" w:sz="0" w:space="0" w:color="auto" w:frame="1"/>
          <w:lang w:val="en-US"/>
        </w:rPr>
      </w:pPr>
    </w:p>
    <w:p w:rsidR="00E326AF" w:rsidRDefault="00E326AF" w:rsidP="00E326AF">
      <w:pPr>
        <w:textAlignment w:val="baseline"/>
        <w:rPr>
          <w:rFonts w:cs="Arial"/>
          <w:b/>
          <w:bCs/>
          <w:bdr w:val="none" w:sz="0" w:space="0" w:color="auto" w:frame="1"/>
          <w:lang w:val="en-US"/>
        </w:rPr>
      </w:pPr>
    </w:p>
    <w:p w:rsidR="00934D3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INTRODUCTION</w:t>
      </w:r>
      <w:r>
        <w:rPr>
          <w:rFonts w:cs="Arial"/>
          <w:b/>
          <w:bCs/>
          <w:bdr w:val="none" w:sz="0" w:space="0" w:color="auto" w:frame="1"/>
          <w:lang w:val="en-US"/>
        </w:rPr>
        <w:t xml:space="preserve"> /</w:t>
      </w:r>
      <w:r w:rsidRPr="001E0B38">
        <w:rPr>
          <w:rFonts w:cs="Arial"/>
          <w:b/>
          <w:bCs/>
          <w:bdr w:val="none" w:sz="0" w:space="0" w:color="auto" w:frame="1"/>
          <w:lang w:val="en-US"/>
        </w:rPr>
        <w:t xml:space="preserve"> HYPOTHESIS</w:t>
      </w:r>
    </w:p>
    <w:p w:rsidR="00263FB4" w:rsidRPr="00A73271" w:rsidRDefault="00934D3F" w:rsidP="00263FB4">
      <w:pPr>
        <w:rPr>
          <w:szCs w:val="24"/>
        </w:rPr>
      </w:pPr>
      <w:r>
        <w:t xml:space="preserve">The study of biomarkers in mild Alzheimer's disease dementia (AD) and amnestic mild cognitive impairment (aMCI) is essential for the improvement of early diagnosis. However, it is not completely known the usefulness of different biomarkers for tracking the progression of the disease. </w:t>
      </w:r>
      <w:r w:rsidR="00DC52FA" w:rsidRPr="00DC52FA">
        <w:rPr>
          <w:szCs w:val="24"/>
          <w:shd w:val="clear" w:color="auto" w:fill="FFFFFF"/>
        </w:rPr>
        <w:t>The aim of this study is</w:t>
      </w:r>
      <w:r w:rsidR="00DC52FA" w:rsidRPr="00DC52FA">
        <w:rPr>
          <w:rStyle w:val="apple-converted-space"/>
          <w:rFonts w:ascii="Helvetica" w:hAnsi="Helvetica"/>
          <w:sz w:val="21"/>
          <w:szCs w:val="21"/>
          <w:shd w:val="clear" w:color="auto" w:fill="FFFFFF"/>
        </w:rPr>
        <w:t> </w:t>
      </w:r>
      <w:r>
        <w:t>to evaluate if cerebrospinal fluid (CSF) biomarkers (Aβ42, p</w:t>
      </w:r>
      <w:r>
        <w:softHyphen/>
        <w:t>tau and t</w:t>
      </w:r>
      <w:r>
        <w:softHyphen/>
        <w:t>tau), hippocampal volumes (HV) and Default Mode Network (DMN) functional connectivity (FC) could predict the cognitive and functional evolution</w:t>
      </w:r>
      <w:r w:rsidR="00A73271">
        <w:t xml:space="preserve"> of</w:t>
      </w:r>
      <w:bookmarkStart w:id="0" w:name="_GoBack"/>
      <w:bookmarkEnd w:id="0"/>
      <w:r>
        <w:t xml:space="preserve"> </w:t>
      </w:r>
      <w:r w:rsidR="00A73271" w:rsidRPr="00A73271">
        <w:rPr>
          <w:szCs w:val="24"/>
          <w:shd w:val="clear" w:color="auto" w:fill="FFFFFF"/>
        </w:rPr>
        <w:t>mild Alzheimer</w:t>
      </w:r>
      <w:r w:rsidR="00A73271">
        <w:rPr>
          <w:szCs w:val="24"/>
          <w:shd w:val="clear" w:color="auto" w:fill="FFFFFF"/>
        </w:rPr>
        <w:t>’s</w:t>
      </w:r>
      <w:r w:rsidR="00A73271" w:rsidRPr="00A73271">
        <w:rPr>
          <w:szCs w:val="24"/>
          <w:shd w:val="clear" w:color="auto" w:fill="FFFFFF"/>
        </w:rPr>
        <w:t xml:space="preserve"> disease </w:t>
      </w:r>
      <w:r w:rsidR="00A73271" w:rsidRPr="00A73271">
        <w:rPr>
          <w:szCs w:val="24"/>
          <w:shd w:val="clear" w:color="auto" w:fill="FFFFFF"/>
        </w:rPr>
        <w:t xml:space="preserve">dementia </w:t>
      </w:r>
      <w:r w:rsidR="00A73271" w:rsidRPr="00A73271">
        <w:rPr>
          <w:szCs w:val="24"/>
          <w:shd w:val="clear" w:color="auto" w:fill="FFFFFF"/>
        </w:rPr>
        <w:t>and amnestic mild cognitive impairment patients</w:t>
      </w:r>
      <w:r w:rsidR="00A73271">
        <w:rPr>
          <w:szCs w:val="24"/>
          <w:shd w:val="clear" w:color="auto" w:fill="FFFFFF"/>
        </w:rPr>
        <w:t>.</w:t>
      </w:r>
    </w:p>
    <w:p w:rsidR="00934D3F" w:rsidRDefault="00934D3F" w:rsidP="00263FB4">
      <w:pPr>
        <w:rPr>
          <w:lang w:val="en-US"/>
        </w:rPr>
      </w:pPr>
    </w:p>
    <w:p w:rsidR="002F5E0D"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OBJECTIVE</w:t>
      </w:r>
    </w:p>
    <w:p w:rsidR="002F5E0D" w:rsidRPr="002F5E0D" w:rsidRDefault="002F5E0D" w:rsidP="002F5E0D">
      <w:pPr>
        <w:pStyle w:val="HTMLPreformatted"/>
        <w:shd w:val="clear" w:color="auto" w:fill="FFFFFF"/>
        <w:rPr>
          <w:rFonts w:ascii="Times New Roman" w:hAnsi="Times New Roman" w:cs="Times New Roman"/>
          <w:color w:val="212121"/>
          <w:sz w:val="24"/>
        </w:rPr>
      </w:pPr>
      <w:r>
        <w:rPr>
          <w:rFonts w:cs="Arial"/>
          <w:b/>
          <w:bCs/>
          <w:bdr w:val="none" w:sz="0" w:space="0" w:color="auto" w:frame="1"/>
        </w:rPr>
        <w:t xml:space="preserve">- </w:t>
      </w:r>
      <w:r>
        <w:rPr>
          <w:rFonts w:ascii="Times New Roman" w:hAnsi="Times New Roman" w:cs="Times New Roman"/>
          <w:color w:val="212121"/>
          <w:sz w:val="24"/>
          <w:lang w:val="en"/>
        </w:rPr>
        <w:t xml:space="preserve">Compare </w:t>
      </w:r>
      <w:proofErr w:type="gramStart"/>
      <w:r>
        <w:rPr>
          <w:rFonts w:ascii="Times New Roman" w:hAnsi="Times New Roman" w:cs="Times New Roman"/>
          <w:color w:val="212121"/>
          <w:sz w:val="24"/>
          <w:lang w:val="en"/>
        </w:rPr>
        <w:t xml:space="preserve">the </w:t>
      </w:r>
      <w:r w:rsidRPr="002F5E0D">
        <w:rPr>
          <w:rFonts w:ascii="Times New Roman" w:hAnsi="Times New Roman" w:cs="Times New Roman"/>
          <w:color w:val="212121"/>
          <w:sz w:val="24"/>
          <w:lang w:val="en"/>
        </w:rPr>
        <w:t xml:space="preserve"> dosage</w:t>
      </w:r>
      <w:proofErr w:type="gramEnd"/>
      <w:r w:rsidRPr="002F5E0D">
        <w:rPr>
          <w:rFonts w:ascii="Times New Roman" w:hAnsi="Times New Roman" w:cs="Times New Roman"/>
          <w:color w:val="212121"/>
          <w:sz w:val="24"/>
          <w:lang w:val="en"/>
        </w:rPr>
        <w:t xml:space="preserve"> of</w:t>
      </w:r>
      <w:r>
        <w:rPr>
          <w:rFonts w:ascii="Times New Roman" w:hAnsi="Times New Roman" w:cs="Times New Roman"/>
          <w:color w:val="212121"/>
          <w:sz w:val="24"/>
          <w:lang w:val="en"/>
        </w:rPr>
        <w:t xml:space="preserve"> </w:t>
      </w:r>
      <w:r w:rsidRPr="002F5E0D">
        <w:rPr>
          <w:rFonts w:ascii="Times New Roman" w:hAnsi="Times New Roman" w:cs="Times New Roman"/>
          <w:color w:val="212121"/>
          <w:sz w:val="24"/>
          <w:lang w:val="en"/>
        </w:rPr>
        <w:t xml:space="preserve"> beta-amyloid, total tau and </w:t>
      </w:r>
      <w:r>
        <w:rPr>
          <w:rFonts w:ascii="Times New Roman" w:hAnsi="Times New Roman" w:cs="Times New Roman"/>
          <w:color w:val="212121"/>
          <w:sz w:val="24"/>
          <w:lang w:val="en"/>
        </w:rPr>
        <w:t>phosphorylated tau proteins in patients</w:t>
      </w:r>
      <w:r w:rsidR="008B3872">
        <w:rPr>
          <w:rFonts w:ascii="Times New Roman" w:hAnsi="Times New Roman" w:cs="Times New Roman"/>
          <w:color w:val="212121"/>
          <w:sz w:val="24"/>
          <w:lang w:val="en"/>
        </w:rPr>
        <w:t xml:space="preserve"> with AD and </w:t>
      </w:r>
      <w:proofErr w:type="spellStart"/>
      <w:r w:rsidR="008B3872">
        <w:rPr>
          <w:rFonts w:ascii="Times New Roman" w:hAnsi="Times New Roman" w:cs="Times New Roman"/>
          <w:color w:val="212121"/>
          <w:sz w:val="24"/>
          <w:lang w:val="en"/>
        </w:rPr>
        <w:t>aMCI</w:t>
      </w:r>
      <w:proofErr w:type="spellEnd"/>
      <w:r>
        <w:rPr>
          <w:rFonts w:ascii="Times New Roman" w:hAnsi="Times New Roman" w:cs="Times New Roman"/>
          <w:color w:val="212121"/>
          <w:sz w:val="24"/>
          <w:lang w:val="en"/>
        </w:rPr>
        <w:t xml:space="preserve"> at the onset of the disease;</w:t>
      </w:r>
    </w:p>
    <w:p w:rsidR="002A2B97" w:rsidRDefault="002F5E0D" w:rsidP="002F5E0D">
      <w:pPr>
        <w:textAlignment w:val="baseline"/>
        <w:rPr>
          <w:color w:val="212121"/>
          <w:szCs w:val="24"/>
          <w:lang w:val="en"/>
        </w:rPr>
      </w:pPr>
      <w:r>
        <w:t xml:space="preserve">-  </w:t>
      </w:r>
      <w:r w:rsidRPr="002F5E0D">
        <w:rPr>
          <w:szCs w:val="24"/>
        </w:rPr>
        <w:t>Compare</w:t>
      </w:r>
      <w:r>
        <w:rPr>
          <w:color w:val="212121"/>
          <w:szCs w:val="24"/>
          <w:lang w:val="en"/>
        </w:rPr>
        <w:t xml:space="preserve"> the hippoc</w:t>
      </w:r>
      <w:r w:rsidR="00210086">
        <w:rPr>
          <w:color w:val="212121"/>
          <w:szCs w:val="24"/>
          <w:lang w:val="en"/>
        </w:rPr>
        <w:t>ampal volume in</w:t>
      </w:r>
      <w:r>
        <w:rPr>
          <w:color w:val="212121"/>
          <w:szCs w:val="24"/>
          <w:lang w:val="en"/>
        </w:rPr>
        <w:t xml:space="preserve"> patients with AD and </w:t>
      </w:r>
      <w:proofErr w:type="spellStart"/>
      <w:r>
        <w:rPr>
          <w:color w:val="212121"/>
          <w:szCs w:val="24"/>
          <w:lang w:val="en"/>
        </w:rPr>
        <w:t>aMCI</w:t>
      </w:r>
      <w:proofErr w:type="spellEnd"/>
      <w:r w:rsidRPr="002F5E0D">
        <w:rPr>
          <w:color w:val="212121"/>
          <w:szCs w:val="24"/>
          <w:lang w:val="en"/>
        </w:rPr>
        <w:t xml:space="preserve"> at the onset of the disease</w:t>
      </w:r>
      <w:r>
        <w:rPr>
          <w:color w:val="212121"/>
          <w:szCs w:val="24"/>
          <w:lang w:val="en"/>
        </w:rPr>
        <w:t>;</w:t>
      </w:r>
    </w:p>
    <w:p w:rsidR="002F5E0D" w:rsidRPr="002F5E0D" w:rsidRDefault="002F5E0D" w:rsidP="002F5E0D">
      <w:pPr>
        <w:pStyle w:val="HTMLPreformatted"/>
        <w:shd w:val="clear" w:color="auto" w:fill="FFFFFF"/>
        <w:rPr>
          <w:rFonts w:ascii="inherit" w:hAnsi="inherit"/>
          <w:color w:val="212121"/>
        </w:rPr>
      </w:pPr>
      <w:r>
        <w:rPr>
          <w:rFonts w:cs="Arial"/>
          <w:b/>
          <w:bCs/>
          <w:bdr w:val="none" w:sz="0" w:space="0" w:color="auto" w:frame="1"/>
        </w:rPr>
        <w:t xml:space="preserve">- </w:t>
      </w:r>
      <w:r w:rsidRPr="002F5E0D">
        <w:rPr>
          <w:rFonts w:ascii="Times New Roman" w:hAnsi="Times New Roman" w:cs="Times New Roman"/>
          <w:color w:val="212121"/>
          <w:sz w:val="24"/>
          <w:szCs w:val="24"/>
          <w:lang w:val="en"/>
        </w:rPr>
        <w:t>Compare the Default Mode Network (DMN) functional connectivity (FC) in</w:t>
      </w:r>
      <w:r w:rsidR="008B3872">
        <w:rPr>
          <w:rFonts w:ascii="Times New Roman" w:hAnsi="Times New Roman" w:cs="Times New Roman"/>
          <w:color w:val="212121"/>
          <w:sz w:val="24"/>
          <w:szCs w:val="24"/>
          <w:lang w:val="en"/>
        </w:rPr>
        <w:t xml:space="preserve"> patients with</w:t>
      </w:r>
      <w:r w:rsidRPr="002F5E0D">
        <w:rPr>
          <w:rFonts w:ascii="Times New Roman" w:hAnsi="Times New Roman" w:cs="Times New Roman"/>
          <w:color w:val="212121"/>
          <w:sz w:val="24"/>
          <w:szCs w:val="24"/>
          <w:lang w:val="en"/>
        </w:rPr>
        <w:t xml:space="preserve"> A</w:t>
      </w:r>
      <w:r w:rsidR="008B3872">
        <w:rPr>
          <w:rFonts w:ascii="Times New Roman" w:hAnsi="Times New Roman" w:cs="Times New Roman"/>
          <w:color w:val="212121"/>
          <w:sz w:val="24"/>
          <w:szCs w:val="24"/>
          <w:lang w:val="en"/>
        </w:rPr>
        <w:t xml:space="preserve">D and </w:t>
      </w:r>
      <w:proofErr w:type="spellStart"/>
      <w:r w:rsidR="008B3872">
        <w:rPr>
          <w:rFonts w:ascii="Times New Roman" w:hAnsi="Times New Roman" w:cs="Times New Roman"/>
          <w:color w:val="212121"/>
          <w:sz w:val="24"/>
          <w:szCs w:val="24"/>
          <w:lang w:val="en"/>
        </w:rPr>
        <w:t>aMCI</w:t>
      </w:r>
      <w:proofErr w:type="spellEnd"/>
      <w:r w:rsidRPr="002F5E0D">
        <w:rPr>
          <w:rFonts w:ascii="Times New Roman" w:hAnsi="Times New Roman" w:cs="Times New Roman"/>
          <w:color w:val="212121"/>
          <w:sz w:val="24"/>
          <w:szCs w:val="24"/>
          <w:lang w:val="en"/>
        </w:rPr>
        <w:t xml:space="preserve"> at the onset of the disease</w:t>
      </w:r>
      <w:r>
        <w:rPr>
          <w:rFonts w:ascii="Times New Roman" w:hAnsi="Times New Roman" w:cs="Times New Roman"/>
          <w:color w:val="212121"/>
          <w:sz w:val="24"/>
          <w:szCs w:val="24"/>
          <w:lang w:val="en"/>
        </w:rPr>
        <w:t>;</w:t>
      </w:r>
    </w:p>
    <w:p w:rsidR="002A2B97" w:rsidRPr="002A2B97" w:rsidRDefault="002F5E0D" w:rsidP="002A2B97">
      <w:pPr>
        <w:pStyle w:val="HTMLPreformatted"/>
        <w:shd w:val="clear" w:color="auto" w:fill="FFFFFF"/>
        <w:rPr>
          <w:rFonts w:ascii="Times New Roman" w:hAnsi="Times New Roman" w:cs="Times New Roman"/>
          <w:color w:val="212121"/>
          <w:sz w:val="24"/>
          <w:szCs w:val="24"/>
        </w:rPr>
      </w:pPr>
      <w:r>
        <w:t xml:space="preserve">- </w:t>
      </w:r>
      <w:r w:rsidR="002A2B97">
        <w:rPr>
          <w:rFonts w:ascii="Times New Roman" w:hAnsi="Times New Roman" w:cs="Times New Roman"/>
          <w:color w:val="212121"/>
          <w:sz w:val="24"/>
          <w:szCs w:val="24"/>
          <w:lang w:val="en"/>
        </w:rPr>
        <w:t>Verify if the bio</w:t>
      </w:r>
      <w:r w:rsidR="002A2B97" w:rsidRPr="002A2B97">
        <w:rPr>
          <w:rFonts w:ascii="Times New Roman" w:hAnsi="Times New Roman" w:cs="Times New Roman"/>
          <w:color w:val="212121"/>
          <w:sz w:val="24"/>
          <w:szCs w:val="24"/>
          <w:lang w:val="en"/>
        </w:rPr>
        <w:t>markers described</w:t>
      </w:r>
      <w:r w:rsidR="002A2B97">
        <w:rPr>
          <w:rFonts w:ascii="Times New Roman" w:hAnsi="Times New Roman" w:cs="Times New Roman"/>
          <w:color w:val="212121"/>
          <w:sz w:val="24"/>
          <w:szCs w:val="24"/>
          <w:lang w:val="en"/>
        </w:rPr>
        <w:t xml:space="preserve"> are </w:t>
      </w:r>
      <w:r w:rsidR="002A2B97" w:rsidRPr="002A2B97">
        <w:rPr>
          <w:rFonts w:ascii="Times New Roman" w:hAnsi="Times New Roman" w:cs="Times New Roman"/>
          <w:color w:val="212121"/>
          <w:sz w:val="24"/>
          <w:szCs w:val="24"/>
          <w:lang w:val="en"/>
        </w:rPr>
        <w:t>correlate</w:t>
      </w:r>
      <w:r w:rsidR="002A2B97">
        <w:rPr>
          <w:rFonts w:ascii="Times New Roman" w:hAnsi="Times New Roman" w:cs="Times New Roman"/>
          <w:color w:val="212121"/>
          <w:sz w:val="24"/>
          <w:szCs w:val="24"/>
          <w:lang w:val="en"/>
        </w:rPr>
        <w:t>d</w:t>
      </w:r>
      <w:r w:rsidR="002A2B97" w:rsidRPr="002A2B97">
        <w:rPr>
          <w:rFonts w:ascii="Times New Roman" w:hAnsi="Times New Roman" w:cs="Times New Roman"/>
          <w:color w:val="212121"/>
          <w:sz w:val="24"/>
          <w:szCs w:val="24"/>
          <w:lang w:val="en"/>
        </w:rPr>
        <w:t xml:space="preserve"> wi</w:t>
      </w:r>
      <w:r w:rsidR="002A2B97">
        <w:rPr>
          <w:rFonts w:ascii="Times New Roman" w:hAnsi="Times New Roman" w:cs="Times New Roman"/>
          <w:color w:val="212121"/>
          <w:sz w:val="24"/>
          <w:szCs w:val="24"/>
          <w:lang w:val="en"/>
        </w:rPr>
        <w:t>th the progression of cognitive</w:t>
      </w:r>
      <w:r w:rsidR="002A2B97" w:rsidRPr="002A2B97">
        <w:rPr>
          <w:rFonts w:ascii="Times New Roman" w:hAnsi="Times New Roman" w:cs="Times New Roman"/>
          <w:color w:val="212121"/>
          <w:sz w:val="24"/>
          <w:szCs w:val="24"/>
          <w:lang w:val="en"/>
        </w:rPr>
        <w:t xml:space="preserve"> (MMSE) and functional (</w:t>
      </w:r>
      <w:proofErr w:type="spellStart"/>
      <w:r w:rsidR="002A2B97" w:rsidRPr="002A2B97">
        <w:rPr>
          <w:rFonts w:ascii="Times New Roman" w:hAnsi="Times New Roman" w:cs="Times New Roman"/>
          <w:color w:val="212121"/>
          <w:sz w:val="24"/>
          <w:szCs w:val="24"/>
          <w:lang w:val="en"/>
        </w:rPr>
        <w:t>Pfeffer</w:t>
      </w:r>
      <w:proofErr w:type="spellEnd"/>
      <w:r w:rsidR="002A2B97" w:rsidRPr="002A2B97">
        <w:rPr>
          <w:rFonts w:ascii="Times New Roman" w:hAnsi="Times New Roman" w:cs="Times New Roman"/>
          <w:color w:val="212121"/>
          <w:sz w:val="24"/>
          <w:szCs w:val="24"/>
          <w:lang w:val="en"/>
        </w:rPr>
        <w:t xml:space="preserve"> Questionnaire and CDR sum of boxes)</w:t>
      </w:r>
      <w:r w:rsidR="002A2B97">
        <w:rPr>
          <w:rFonts w:ascii="Times New Roman" w:hAnsi="Times New Roman" w:cs="Times New Roman"/>
          <w:color w:val="212121"/>
          <w:sz w:val="24"/>
          <w:szCs w:val="24"/>
          <w:lang w:val="en"/>
        </w:rPr>
        <w:t xml:space="preserve"> measures</w:t>
      </w:r>
      <w:r w:rsidR="002A2B97" w:rsidRPr="002A2B97">
        <w:rPr>
          <w:rFonts w:ascii="Times New Roman" w:hAnsi="Times New Roman" w:cs="Times New Roman"/>
          <w:color w:val="212121"/>
          <w:sz w:val="24"/>
          <w:szCs w:val="24"/>
          <w:lang w:val="en"/>
        </w:rPr>
        <w:t>;</w:t>
      </w:r>
    </w:p>
    <w:p w:rsidR="00F605E1" w:rsidRPr="002A2B97" w:rsidRDefault="00F605E1" w:rsidP="002A2B97">
      <w:pPr>
        <w:ind w:left="360"/>
        <w:rPr>
          <w:szCs w:val="24"/>
          <w:lang w:val="en-US"/>
        </w:rPr>
      </w:pPr>
    </w:p>
    <w:p w:rsidR="00934D3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 xml:space="preserve">METHOD </w:t>
      </w:r>
    </w:p>
    <w:p w:rsidR="00E326AF" w:rsidRDefault="00934D3F" w:rsidP="00263FB4">
      <w:r>
        <w:t>We evaluated 32 mild AD and aMCI due to AD during 9 months. All subjects underwent neuropsychological assessment, MRI at 3 Tesla for structural and FC evaluation, and CSF biomarkers. All aMCI subjects had evidence of AD pathophysiology (hippocampal atrophy and/or low CSF Aβ42 and/or low Aβ42/ptau). HV was obtained by Freesurfer software. We performed the FC analysis using the UF²C toolbox (http://www.lni.hc.unicamp.br/app/uf2c/). We estimated an average DMN map that was divided in eight DMN subparts: the prefrontal cortex; medial parietal cortex; left and right parietal lobe, left and right temporal lobe, left and right hippocampus. The average values were converted to z</w:t>
      </w:r>
      <w:r>
        <w:softHyphen/>
        <w:t>scores that were used for statistical analysis. Dosages of Aβ42, t</w:t>
      </w:r>
      <w:r>
        <w:softHyphen/>
        <w:t>Tau and p</w:t>
      </w:r>
      <w:r>
        <w:softHyphen/>
        <w:t xml:space="preserve">Tau were obtained from INNOTEST® kits (Fujirebio).We performed multiple regressions considering changes (Δ) in cognition (Mini Mental Status Examination </w:t>
      </w:r>
      <w:r>
        <w:softHyphen/>
        <w:t xml:space="preserve"> MMSE) and in functional status (Pfeffer's Questionnaire of daily living) as dependent variables and, age, sex, education, CSF biomarkers, HV and DMN subparts FC as independent variables.</w:t>
      </w:r>
      <w:r w:rsidR="00E02009">
        <w:t xml:space="preserve"> </w:t>
      </w:r>
      <w:r w:rsidR="00C605EE">
        <w:rPr>
          <w:b/>
        </w:rPr>
        <w:t>Preliminary R</w:t>
      </w:r>
      <w:r w:rsidR="00C605EE" w:rsidRPr="00C605EE">
        <w:rPr>
          <w:b/>
        </w:rPr>
        <w:t>esults</w:t>
      </w:r>
      <w:r w:rsidR="00C605EE">
        <w:t xml:space="preserve">: </w:t>
      </w:r>
      <w:r w:rsidR="00E02009">
        <w:t xml:space="preserve">We did not find any significant result concerning these variables and changes in MMSE over time. However, we found that hippocampal volume and FC predicted changes in Pfeffer's Questionnaire: left HV (adjusted R2= 0.79, F= 5.75; t = </w:t>
      </w:r>
      <w:r w:rsidR="00E02009">
        <w:softHyphen/>
        <w:t>5.73, p=0.029); right hippocampal FC: (adjusted R2= 0.84, F= 12.06 ; t = 5.13, p=0.004). All testes were corrected for multiple comparisons</w:t>
      </w:r>
      <w:r w:rsidR="00811590">
        <w:t>.</w:t>
      </w:r>
    </w:p>
    <w:p w:rsidR="00934D3F" w:rsidRPr="000557A7" w:rsidRDefault="00934D3F" w:rsidP="00263FB4">
      <w:pPr>
        <w:rPr>
          <w:lang w:val="en-US"/>
        </w:rPr>
      </w:pPr>
    </w:p>
    <w:p w:rsidR="0082426B"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RELEVANCE</w:t>
      </w:r>
    </w:p>
    <w:p w:rsidR="00263FB4" w:rsidRDefault="0082426B" w:rsidP="00263FB4">
      <w:r>
        <w:t>Hippocampal structure and functional connectivity (but not CSF biomarkers) predict changes over time in functional activities in patients with mild AD and aMCI. Interestingly, we found a direct relationship between hippocampal FC and the worsening of our patients, what could mean that initial high connectivity might be compensatory</w:t>
      </w:r>
      <w:r w:rsidR="00811590">
        <w:t>.</w:t>
      </w:r>
    </w:p>
    <w:p w:rsidR="0082426B" w:rsidRPr="000557A7" w:rsidRDefault="0082426B" w:rsidP="00263FB4">
      <w:pPr>
        <w:rPr>
          <w:lang w:val="en-US"/>
        </w:rPr>
      </w:pPr>
    </w:p>
    <w:p w:rsidR="00E02009" w:rsidRPr="00E02009" w:rsidRDefault="00E02009" w:rsidP="00263FB4">
      <w:pPr>
        <w:rPr>
          <w:color w:val="FF0000"/>
          <w:sz w:val="22"/>
          <w:lang w:val="en-US"/>
        </w:rPr>
      </w:pPr>
    </w:p>
    <w:sectPr w:rsidR="00E02009" w:rsidRPr="00E02009" w:rsidSect="00743343">
      <w:headerReference w:type="default" r:id="rId8"/>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26" w:rsidRDefault="00C62D26" w:rsidP="00743343">
      <w:r>
        <w:separator/>
      </w:r>
    </w:p>
  </w:endnote>
  <w:endnote w:type="continuationSeparator" w:id="0">
    <w:p w:rsidR="00C62D26" w:rsidRDefault="00C62D26"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26" w:rsidRDefault="00C62D26" w:rsidP="00743343">
      <w:r>
        <w:separator/>
      </w:r>
    </w:p>
  </w:footnote>
  <w:footnote w:type="continuationSeparator" w:id="0">
    <w:p w:rsidR="00C62D26" w:rsidRDefault="00C62D26"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BF02FC" w:rsidP="000557A7">
    <w:pPr>
      <w:pStyle w:val="Header"/>
      <w:jc w:val="right"/>
      <w:rPr>
        <w:rFonts w:asciiTheme="minorHAnsi" w:hAnsiTheme="minorHAnsi"/>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val="en-US"/>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41F"/>
    <w:multiLevelType w:val="hybridMultilevel"/>
    <w:tmpl w:val="BC6E7E02"/>
    <w:lvl w:ilvl="0" w:tplc="0D2CC8D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833395"/>
    <w:multiLevelType w:val="hybridMultilevel"/>
    <w:tmpl w:val="AC9A3CFC"/>
    <w:lvl w:ilvl="0" w:tplc="5622F1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25482"/>
    <w:multiLevelType w:val="hybridMultilevel"/>
    <w:tmpl w:val="6E80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zEwNbYwNTc2MzdS0lEKTi0uzszPAykwrAUAyUMNtiwAAAA="/>
  </w:docVars>
  <w:rsids>
    <w:rsidRoot w:val="002F1EA5"/>
    <w:rsid w:val="00032F2B"/>
    <w:rsid w:val="0003597F"/>
    <w:rsid w:val="00042C87"/>
    <w:rsid w:val="0005007B"/>
    <w:rsid w:val="000557A7"/>
    <w:rsid w:val="00071DAD"/>
    <w:rsid w:val="0007554D"/>
    <w:rsid w:val="000D4088"/>
    <w:rsid w:val="00102007"/>
    <w:rsid w:val="001C17D6"/>
    <w:rsid w:val="00210086"/>
    <w:rsid w:val="00262DE0"/>
    <w:rsid w:val="00263FB4"/>
    <w:rsid w:val="00264FBA"/>
    <w:rsid w:val="002A2B97"/>
    <w:rsid w:val="002C3BE6"/>
    <w:rsid w:val="002D7F8E"/>
    <w:rsid w:val="002E5535"/>
    <w:rsid w:val="002F1EA5"/>
    <w:rsid w:val="002F5E0D"/>
    <w:rsid w:val="003513A8"/>
    <w:rsid w:val="00391D25"/>
    <w:rsid w:val="003B0DB9"/>
    <w:rsid w:val="003D308D"/>
    <w:rsid w:val="004061C0"/>
    <w:rsid w:val="00463BB7"/>
    <w:rsid w:val="004647A5"/>
    <w:rsid w:val="0049470E"/>
    <w:rsid w:val="00495481"/>
    <w:rsid w:val="004D3FC7"/>
    <w:rsid w:val="0058066C"/>
    <w:rsid w:val="005E1B59"/>
    <w:rsid w:val="00661827"/>
    <w:rsid w:val="00685D2D"/>
    <w:rsid w:val="00743343"/>
    <w:rsid w:val="007464CA"/>
    <w:rsid w:val="007978C5"/>
    <w:rsid w:val="007B35CF"/>
    <w:rsid w:val="00811590"/>
    <w:rsid w:val="0082426B"/>
    <w:rsid w:val="00832B02"/>
    <w:rsid w:val="008B3872"/>
    <w:rsid w:val="00934D3F"/>
    <w:rsid w:val="0097212D"/>
    <w:rsid w:val="00A25F3B"/>
    <w:rsid w:val="00A73271"/>
    <w:rsid w:val="00A82F67"/>
    <w:rsid w:val="00A921E3"/>
    <w:rsid w:val="00AD5A4B"/>
    <w:rsid w:val="00AF2B1D"/>
    <w:rsid w:val="00B03824"/>
    <w:rsid w:val="00B04BD1"/>
    <w:rsid w:val="00B52F14"/>
    <w:rsid w:val="00B64A0D"/>
    <w:rsid w:val="00B85F09"/>
    <w:rsid w:val="00BF02FC"/>
    <w:rsid w:val="00C171DE"/>
    <w:rsid w:val="00C605EE"/>
    <w:rsid w:val="00C62D26"/>
    <w:rsid w:val="00C85417"/>
    <w:rsid w:val="00CF2D5C"/>
    <w:rsid w:val="00DB5688"/>
    <w:rsid w:val="00DC52FA"/>
    <w:rsid w:val="00E02009"/>
    <w:rsid w:val="00E24564"/>
    <w:rsid w:val="00E326AF"/>
    <w:rsid w:val="00E50AB8"/>
    <w:rsid w:val="00E908DC"/>
    <w:rsid w:val="00EA6C72"/>
    <w:rsid w:val="00F52674"/>
    <w:rsid w:val="00F605E1"/>
    <w:rsid w:val="00FA7447"/>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unhideWhenUsed/>
    <w:rsid w:val="00743343"/>
    <w:pPr>
      <w:tabs>
        <w:tab w:val="center" w:pos="4252"/>
        <w:tab w:val="right" w:pos="8504"/>
      </w:tabs>
    </w:pPr>
  </w:style>
  <w:style w:type="character" w:customStyle="1" w:styleId="FooterChar">
    <w:name w:val="Footer Char"/>
    <w:basedOn w:val="DefaultParagraphFont"/>
    <w:link w:val="Footer"/>
    <w:uiPriority w:val="99"/>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paragraph" w:styleId="ListParagraph">
    <w:name w:val="List Paragraph"/>
    <w:basedOn w:val="Normal"/>
    <w:uiPriority w:val="34"/>
    <w:qFormat/>
    <w:rsid w:val="002A2B97"/>
    <w:pPr>
      <w:spacing w:after="200"/>
      <w:ind w:left="720"/>
      <w:contextualSpacing/>
      <w:jc w:val="left"/>
    </w:pPr>
    <w:rPr>
      <w:rFonts w:asciiTheme="minorHAnsi" w:eastAsiaTheme="minorEastAsia" w:hAnsiTheme="minorHAnsi" w:cstheme="minorBidi"/>
      <w:szCs w:val="24"/>
      <w:lang w:eastAsia="ja-JP"/>
    </w:rPr>
  </w:style>
  <w:style w:type="paragraph" w:styleId="HTMLPreformatted">
    <w:name w:val="HTML Preformatted"/>
    <w:basedOn w:val="Normal"/>
    <w:link w:val="HTMLPreformattedChar"/>
    <w:uiPriority w:val="99"/>
    <w:unhideWhenUsed/>
    <w:rsid w:val="002A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A2B97"/>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DC5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unhideWhenUsed/>
    <w:rsid w:val="00743343"/>
    <w:pPr>
      <w:tabs>
        <w:tab w:val="center" w:pos="4252"/>
        <w:tab w:val="right" w:pos="8504"/>
      </w:tabs>
    </w:pPr>
  </w:style>
  <w:style w:type="character" w:customStyle="1" w:styleId="FooterChar">
    <w:name w:val="Footer Char"/>
    <w:basedOn w:val="DefaultParagraphFont"/>
    <w:link w:val="Footer"/>
    <w:uiPriority w:val="99"/>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paragraph" w:styleId="ListParagraph">
    <w:name w:val="List Paragraph"/>
    <w:basedOn w:val="Normal"/>
    <w:uiPriority w:val="34"/>
    <w:qFormat/>
    <w:rsid w:val="002A2B97"/>
    <w:pPr>
      <w:spacing w:after="200"/>
      <w:ind w:left="720"/>
      <w:contextualSpacing/>
      <w:jc w:val="left"/>
    </w:pPr>
    <w:rPr>
      <w:rFonts w:asciiTheme="minorHAnsi" w:eastAsiaTheme="minorEastAsia" w:hAnsiTheme="minorHAnsi" w:cstheme="minorBidi"/>
      <w:szCs w:val="24"/>
      <w:lang w:eastAsia="ja-JP"/>
    </w:rPr>
  </w:style>
  <w:style w:type="paragraph" w:styleId="HTMLPreformatted">
    <w:name w:val="HTML Preformatted"/>
    <w:basedOn w:val="Normal"/>
    <w:link w:val="HTMLPreformattedChar"/>
    <w:uiPriority w:val="99"/>
    <w:unhideWhenUsed/>
    <w:rsid w:val="002A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A2B97"/>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DC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3065">
      <w:bodyDiv w:val="1"/>
      <w:marLeft w:val="0"/>
      <w:marRight w:val="0"/>
      <w:marTop w:val="0"/>
      <w:marBottom w:val="0"/>
      <w:divBdr>
        <w:top w:val="none" w:sz="0" w:space="0" w:color="auto"/>
        <w:left w:val="none" w:sz="0" w:space="0" w:color="auto"/>
        <w:bottom w:val="none" w:sz="0" w:space="0" w:color="auto"/>
        <w:right w:val="none" w:sz="0" w:space="0" w:color="auto"/>
      </w:divBdr>
    </w:div>
    <w:div w:id="1163352040">
      <w:bodyDiv w:val="1"/>
      <w:marLeft w:val="0"/>
      <w:marRight w:val="0"/>
      <w:marTop w:val="0"/>
      <w:marBottom w:val="0"/>
      <w:divBdr>
        <w:top w:val="none" w:sz="0" w:space="0" w:color="auto"/>
        <w:left w:val="none" w:sz="0" w:space="0" w:color="auto"/>
        <w:bottom w:val="none" w:sz="0" w:space="0" w:color="auto"/>
        <w:right w:val="none" w:sz="0" w:space="0" w:color="auto"/>
      </w:divBdr>
    </w:div>
    <w:div w:id="1201747010">
      <w:bodyDiv w:val="1"/>
      <w:marLeft w:val="0"/>
      <w:marRight w:val="0"/>
      <w:marTop w:val="0"/>
      <w:marBottom w:val="0"/>
      <w:divBdr>
        <w:top w:val="none" w:sz="0" w:space="0" w:color="auto"/>
        <w:left w:val="none" w:sz="0" w:space="0" w:color="auto"/>
        <w:bottom w:val="none" w:sz="0" w:space="0" w:color="auto"/>
        <w:right w:val="none" w:sz="0" w:space="0" w:color="auto"/>
      </w:divBdr>
      <w:divsChild>
        <w:div w:id="196287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7190">
              <w:marLeft w:val="0"/>
              <w:marRight w:val="0"/>
              <w:marTop w:val="0"/>
              <w:marBottom w:val="0"/>
              <w:divBdr>
                <w:top w:val="none" w:sz="0" w:space="0" w:color="auto"/>
                <w:left w:val="none" w:sz="0" w:space="0" w:color="auto"/>
                <w:bottom w:val="none" w:sz="0" w:space="0" w:color="auto"/>
                <w:right w:val="none" w:sz="0" w:space="0" w:color="auto"/>
              </w:divBdr>
              <w:divsChild>
                <w:div w:id="4155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17056">
                      <w:marLeft w:val="0"/>
                      <w:marRight w:val="0"/>
                      <w:marTop w:val="0"/>
                      <w:marBottom w:val="0"/>
                      <w:divBdr>
                        <w:top w:val="none" w:sz="0" w:space="0" w:color="auto"/>
                        <w:left w:val="none" w:sz="0" w:space="0" w:color="auto"/>
                        <w:bottom w:val="none" w:sz="0" w:space="0" w:color="auto"/>
                        <w:right w:val="none" w:sz="0" w:space="0" w:color="auto"/>
                      </w:divBdr>
                      <w:divsChild>
                        <w:div w:id="1103767013">
                          <w:marLeft w:val="0"/>
                          <w:marRight w:val="0"/>
                          <w:marTop w:val="0"/>
                          <w:marBottom w:val="0"/>
                          <w:divBdr>
                            <w:top w:val="none" w:sz="0" w:space="0" w:color="auto"/>
                            <w:left w:val="none" w:sz="0" w:space="0" w:color="auto"/>
                            <w:bottom w:val="none" w:sz="0" w:space="0" w:color="auto"/>
                            <w:right w:val="none" w:sz="0" w:space="0" w:color="auto"/>
                          </w:divBdr>
                          <w:divsChild>
                            <w:div w:id="1166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07117">
      <w:bodyDiv w:val="1"/>
      <w:marLeft w:val="0"/>
      <w:marRight w:val="0"/>
      <w:marTop w:val="0"/>
      <w:marBottom w:val="0"/>
      <w:divBdr>
        <w:top w:val="none" w:sz="0" w:space="0" w:color="auto"/>
        <w:left w:val="none" w:sz="0" w:space="0" w:color="auto"/>
        <w:bottom w:val="none" w:sz="0" w:space="0" w:color="auto"/>
        <w:right w:val="none" w:sz="0" w:space="0" w:color="auto"/>
      </w:divBdr>
      <w:divsChild>
        <w:div w:id="144044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655064">
              <w:marLeft w:val="0"/>
              <w:marRight w:val="0"/>
              <w:marTop w:val="0"/>
              <w:marBottom w:val="0"/>
              <w:divBdr>
                <w:top w:val="none" w:sz="0" w:space="0" w:color="auto"/>
                <w:left w:val="none" w:sz="0" w:space="0" w:color="auto"/>
                <w:bottom w:val="none" w:sz="0" w:space="0" w:color="auto"/>
                <w:right w:val="none" w:sz="0" w:space="0" w:color="auto"/>
              </w:divBdr>
              <w:divsChild>
                <w:div w:id="94472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360412">
                      <w:marLeft w:val="0"/>
                      <w:marRight w:val="0"/>
                      <w:marTop w:val="0"/>
                      <w:marBottom w:val="0"/>
                      <w:divBdr>
                        <w:top w:val="none" w:sz="0" w:space="0" w:color="auto"/>
                        <w:left w:val="none" w:sz="0" w:space="0" w:color="auto"/>
                        <w:bottom w:val="none" w:sz="0" w:space="0" w:color="auto"/>
                        <w:right w:val="none" w:sz="0" w:space="0" w:color="auto"/>
                      </w:divBdr>
                      <w:divsChild>
                        <w:div w:id="1524588077">
                          <w:marLeft w:val="0"/>
                          <w:marRight w:val="0"/>
                          <w:marTop w:val="0"/>
                          <w:marBottom w:val="0"/>
                          <w:divBdr>
                            <w:top w:val="none" w:sz="0" w:space="0" w:color="auto"/>
                            <w:left w:val="none" w:sz="0" w:space="0" w:color="auto"/>
                            <w:bottom w:val="none" w:sz="0" w:space="0" w:color="auto"/>
                            <w:right w:val="none" w:sz="0" w:space="0" w:color="auto"/>
                          </w:divBdr>
                          <w:divsChild>
                            <w:div w:id="11924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3471">
      <w:bodyDiv w:val="1"/>
      <w:marLeft w:val="0"/>
      <w:marRight w:val="0"/>
      <w:marTop w:val="0"/>
      <w:marBottom w:val="0"/>
      <w:divBdr>
        <w:top w:val="none" w:sz="0" w:space="0" w:color="auto"/>
        <w:left w:val="none" w:sz="0" w:space="0" w:color="auto"/>
        <w:bottom w:val="none" w:sz="0" w:space="0" w:color="auto"/>
        <w:right w:val="none" w:sz="0" w:space="0" w:color="auto"/>
      </w:divBdr>
    </w:div>
    <w:div w:id="18766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  natalie lecce</cp:lastModifiedBy>
  <cp:revision>18</cp:revision>
  <dcterms:created xsi:type="dcterms:W3CDTF">2017-03-08T19:59:00Z</dcterms:created>
  <dcterms:modified xsi:type="dcterms:W3CDTF">2017-03-14T01:02:00Z</dcterms:modified>
</cp:coreProperties>
</file>