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E9" w:rsidRPr="00CA3CAD" w:rsidRDefault="003060E9" w:rsidP="001268FE">
      <w:pPr>
        <w:autoSpaceDE w:val="0"/>
        <w:autoSpaceDN w:val="0"/>
        <w:adjustRightInd w:val="0"/>
        <w:jc w:val="center"/>
        <w:rPr>
          <w:b/>
          <w:bCs/>
          <w:sz w:val="28"/>
          <w:szCs w:val="28"/>
          <w:lang w:val="en-US" w:eastAsia="pt-BR"/>
        </w:rPr>
      </w:pPr>
      <w:r>
        <w:rPr>
          <w:b/>
          <w:bCs/>
          <w:sz w:val="28"/>
          <w:szCs w:val="28"/>
          <w:lang w:val="en-US" w:eastAsia="pt-BR"/>
        </w:rPr>
        <w:t xml:space="preserve">Botulinum toxin for hereditary </w:t>
      </w:r>
      <w:r w:rsidRPr="00C23D8E">
        <w:rPr>
          <w:b/>
          <w:bCs/>
          <w:sz w:val="28"/>
          <w:szCs w:val="28"/>
          <w:lang w:val="en-US" w:eastAsia="pt-BR"/>
        </w:rPr>
        <w:t>spastic paraplegi</w:t>
      </w:r>
      <w:r>
        <w:rPr>
          <w:b/>
          <w:bCs/>
          <w:sz w:val="28"/>
          <w:szCs w:val="28"/>
          <w:lang w:val="en-US" w:eastAsia="pt-BR"/>
        </w:rPr>
        <w:t>a: effects on motor and non-motor manifestations</w:t>
      </w:r>
    </w:p>
    <w:p w:rsidR="002F1EA5" w:rsidRDefault="002F1EA5" w:rsidP="001268FE">
      <w:pPr>
        <w:jc w:val="center"/>
        <w:rPr>
          <w:b/>
          <w:sz w:val="28"/>
          <w:lang w:val="en-US"/>
        </w:rPr>
      </w:pPr>
    </w:p>
    <w:p w:rsidR="00E24564" w:rsidRPr="00E24564" w:rsidRDefault="00E24564" w:rsidP="001268FE">
      <w:pPr>
        <w:jc w:val="center"/>
        <w:rPr>
          <w:lang w:val="en-US"/>
        </w:rPr>
      </w:pPr>
    </w:p>
    <w:p w:rsidR="003060E9" w:rsidRDefault="003060E9" w:rsidP="001268FE">
      <w:pPr>
        <w:jc w:val="center"/>
        <w:rPr>
          <w:szCs w:val="24"/>
          <w:vertAlign w:val="superscript"/>
          <w:lang w:val="en-US"/>
        </w:rPr>
      </w:pPr>
      <w:r>
        <w:rPr>
          <w:szCs w:val="24"/>
          <w:lang w:val="en-US"/>
        </w:rPr>
        <w:t>Katiane R. Servelhere</w:t>
      </w:r>
      <w:r w:rsidRPr="00AC6500">
        <w:rPr>
          <w:szCs w:val="24"/>
          <w:vertAlign w:val="superscript"/>
          <w:lang w:val="en-US"/>
        </w:rPr>
        <w:t>1</w:t>
      </w:r>
      <w:r>
        <w:rPr>
          <w:szCs w:val="24"/>
          <w:lang w:val="en-US"/>
        </w:rPr>
        <w:t>, PT, MSc; Ingrid Faber</w:t>
      </w:r>
      <w:r w:rsidRPr="00AC6500">
        <w:rPr>
          <w:szCs w:val="24"/>
          <w:vertAlign w:val="superscript"/>
          <w:lang w:val="en-US"/>
        </w:rPr>
        <w:t>1</w:t>
      </w:r>
      <w:r>
        <w:rPr>
          <w:szCs w:val="24"/>
          <w:lang w:val="en-US"/>
        </w:rPr>
        <w:t>, MD; Alberto Martinez</w:t>
      </w:r>
      <w:r w:rsidRPr="00AC6500">
        <w:rPr>
          <w:szCs w:val="24"/>
          <w:vertAlign w:val="superscript"/>
          <w:lang w:val="en-US"/>
        </w:rPr>
        <w:t>1</w:t>
      </w:r>
      <w:r>
        <w:rPr>
          <w:szCs w:val="24"/>
          <w:lang w:val="en-US"/>
        </w:rPr>
        <w:t xml:space="preserve">, MD; </w:t>
      </w:r>
      <w:r w:rsidRPr="006C7EBC">
        <w:rPr>
          <w:szCs w:val="24"/>
          <w:lang w:val="en-US"/>
        </w:rPr>
        <w:t>Renato Nickel,</w:t>
      </w:r>
      <w:r>
        <w:rPr>
          <w:szCs w:val="24"/>
          <w:lang w:val="en-US"/>
        </w:rPr>
        <w:t xml:space="preserve"> OT,</w:t>
      </w:r>
      <w:r w:rsidRPr="006C7EBC">
        <w:rPr>
          <w:szCs w:val="24"/>
          <w:lang w:val="en-US"/>
        </w:rPr>
        <w:t xml:space="preserve"> PhD</w:t>
      </w:r>
      <w:r w:rsidRPr="00AC6500">
        <w:rPr>
          <w:szCs w:val="24"/>
          <w:vertAlign w:val="superscript"/>
          <w:lang w:val="en-US"/>
        </w:rPr>
        <w:t>2</w:t>
      </w:r>
      <w:r>
        <w:rPr>
          <w:szCs w:val="24"/>
          <w:lang w:val="en-US"/>
        </w:rPr>
        <w:t xml:space="preserve">; </w:t>
      </w:r>
      <w:r w:rsidRPr="006C7EBC">
        <w:rPr>
          <w:szCs w:val="24"/>
          <w:lang w:val="en-US"/>
        </w:rPr>
        <w:t>Adriana Moro, MD</w:t>
      </w:r>
      <w:r w:rsidRPr="00AC6500">
        <w:rPr>
          <w:szCs w:val="24"/>
          <w:vertAlign w:val="superscript"/>
          <w:lang w:val="en-US"/>
        </w:rPr>
        <w:t>2</w:t>
      </w:r>
      <w:r>
        <w:rPr>
          <w:szCs w:val="24"/>
          <w:lang w:val="en-US"/>
        </w:rPr>
        <w:t>;</w:t>
      </w:r>
      <w:r w:rsidRPr="006C7EBC">
        <w:rPr>
          <w:szCs w:val="24"/>
          <w:lang w:val="en-US"/>
        </w:rPr>
        <w:t xml:space="preserve"> Francisco </w:t>
      </w:r>
      <w:r w:rsidRPr="00050624">
        <w:rPr>
          <w:szCs w:val="24"/>
          <w:lang w:val="en-US"/>
        </w:rPr>
        <w:t>M. B.</w:t>
      </w:r>
      <w:r>
        <w:rPr>
          <w:szCs w:val="24"/>
          <w:lang w:val="en-US"/>
        </w:rPr>
        <w:t xml:space="preserve"> </w:t>
      </w:r>
      <w:proofErr w:type="spellStart"/>
      <w:r w:rsidRPr="006C7EBC">
        <w:rPr>
          <w:szCs w:val="24"/>
          <w:lang w:val="en-US"/>
        </w:rPr>
        <w:t>Germiniani</w:t>
      </w:r>
      <w:proofErr w:type="spellEnd"/>
      <w:r w:rsidRPr="006C7EBC">
        <w:rPr>
          <w:szCs w:val="24"/>
          <w:lang w:val="en-US"/>
        </w:rPr>
        <w:t>, MD</w:t>
      </w:r>
      <w:r w:rsidRPr="00AC6500">
        <w:rPr>
          <w:szCs w:val="24"/>
          <w:vertAlign w:val="superscript"/>
          <w:lang w:val="en-US"/>
        </w:rPr>
        <w:t>2</w:t>
      </w:r>
      <w:r>
        <w:rPr>
          <w:szCs w:val="24"/>
          <w:lang w:val="en-US"/>
        </w:rPr>
        <w:t>;</w:t>
      </w:r>
      <w:r w:rsidRPr="006C7EBC">
        <w:rPr>
          <w:szCs w:val="24"/>
          <w:lang w:val="en-US"/>
        </w:rPr>
        <w:t xml:space="preserve"> Mariana </w:t>
      </w:r>
      <w:proofErr w:type="spellStart"/>
      <w:r w:rsidRPr="006C7EBC">
        <w:rPr>
          <w:szCs w:val="24"/>
          <w:lang w:val="en-US"/>
        </w:rPr>
        <w:t>Moscovich</w:t>
      </w:r>
      <w:proofErr w:type="spellEnd"/>
      <w:r w:rsidRPr="006C7EBC">
        <w:rPr>
          <w:szCs w:val="24"/>
          <w:lang w:val="en-US"/>
        </w:rPr>
        <w:t>, MD</w:t>
      </w:r>
      <w:r w:rsidRPr="00AC6500">
        <w:rPr>
          <w:szCs w:val="24"/>
          <w:vertAlign w:val="superscript"/>
          <w:lang w:val="en-US"/>
        </w:rPr>
        <w:t>2</w:t>
      </w:r>
      <w:r>
        <w:rPr>
          <w:szCs w:val="24"/>
          <w:lang w:val="en-US"/>
        </w:rPr>
        <w:t>;</w:t>
      </w:r>
      <w:r w:rsidRPr="006C7EBC">
        <w:rPr>
          <w:szCs w:val="24"/>
          <w:lang w:val="en-US"/>
        </w:rPr>
        <w:t xml:space="preserve"> Caroline </w:t>
      </w:r>
      <w:proofErr w:type="spellStart"/>
      <w:r w:rsidRPr="006C7EBC">
        <w:rPr>
          <w:szCs w:val="24"/>
          <w:lang w:val="en-US"/>
        </w:rPr>
        <w:t>Cartaxo</w:t>
      </w:r>
      <w:proofErr w:type="spellEnd"/>
      <w:r w:rsidRPr="006C7EBC">
        <w:rPr>
          <w:szCs w:val="24"/>
          <w:lang w:val="en-US"/>
        </w:rPr>
        <w:t xml:space="preserve"> Mello, MD</w:t>
      </w:r>
      <w:r w:rsidRPr="00AC6500">
        <w:rPr>
          <w:szCs w:val="24"/>
          <w:vertAlign w:val="superscript"/>
          <w:lang w:val="en-US"/>
        </w:rPr>
        <w:t>2</w:t>
      </w:r>
      <w:r>
        <w:rPr>
          <w:szCs w:val="24"/>
          <w:lang w:val="en-US"/>
        </w:rPr>
        <w:t>;</w:t>
      </w:r>
      <w:r w:rsidRPr="006C7EBC">
        <w:rPr>
          <w:szCs w:val="24"/>
          <w:lang w:val="en-US"/>
        </w:rPr>
        <w:t xml:space="preserve"> </w:t>
      </w:r>
      <w:proofErr w:type="spellStart"/>
      <w:r w:rsidRPr="006C7EBC">
        <w:rPr>
          <w:szCs w:val="24"/>
          <w:lang w:val="en-US"/>
        </w:rPr>
        <w:t>Tatiane</w:t>
      </w:r>
      <w:proofErr w:type="spellEnd"/>
      <w:r w:rsidRPr="006C7EBC">
        <w:rPr>
          <w:szCs w:val="24"/>
          <w:lang w:val="en-US"/>
        </w:rPr>
        <w:t xml:space="preserve"> R. Blume, </w:t>
      </w:r>
      <w:r>
        <w:rPr>
          <w:szCs w:val="24"/>
          <w:lang w:val="en-US"/>
        </w:rPr>
        <w:t xml:space="preserve">OT, </w:t>
      </w:r>
      <w:r w:rsidRPr="006C7EBC">
        <w:rPr>
          <w:szCs w:val="24"/>
          <w:lang w:val="en-US"/>
        </w:rPr>
        <w:t>MSc</w:t>
      </w:r>
      <w:r w:rsidRPr="00AC6500">
        <w:rPr>
          <w:szCs w:val="24"/>
          <w:vertAlign w:val="superscript"/>
          <w:lang w:val="en-US"/>
        </w:rPr>
        <w:t>2</w:t>
      </w:r>
      <w:r>
        <w:rPr>
          <w:szCs w:val="24"/>
          <w:lang w:val="en-US"/>
        </w:rPr>
        <w:t>;</w:t>
      </w:r>
      <w:r w:rsidRPr="006C7EBC">
        <w:rPr>
          <w:szCs w:val="24"/>
          <w:lang w:val="en-US"/>
        </w:rPr>
        <w:t xml:space="preserve"> </w:t>
      </w:r>
      <w:proofErr w:type="spellStart"/>
      <w:r w:rsidRPr="006C7EBC">
        <w:rPr>
          <w:szCs w:val="24"/>
          <w:lang w:val="en-US"/>
        </w:rPr>
        <w:t>Ní</w:t>
      </w:r>
      <w:r>
        <w:rPr>
          <w:szCs w:val="24"/>
          <w:lang w:val="en-US"/>
        </w:rPr>
        <w:t>lson</w:t>
      </w:r>
      <w:proofErr w:type="spellEnd"/>
      <w:r>
        <w:rPr>
          <w:szCs w:val="24"/>
          <w:lang w:val="en-US"/>
        </w:rPr>
        <w:t xml:space="preserve"> Becker, MD;</w:t>
      </w:r>
      <w:r w:rsidRPr="006C7EBC">
        <w:rPr>
          <w:szCs w:val="24"/>
          <w:lang w:val="en-US"/>
        </w:rPr>
        <w:t xml:space="preserve"> MSc</w:t>
      </w:r>
      <w:r w:rsidRPr="00AC6500">
        <w:rPr>
          <w:szCs w:val="24"/>
          <w:vertAlign w:val="superscript"/>
          <w:lang w:val="en-US"/>
        </w:rPr>
        <w:t>2</w:t>
      </w:r>
      <w:r>
        <w:rPr>
          <w:szCs w:val="24"/>
          <w:lang w:val="en-US"/>
        </w:rPr>
        <w:t>;</w:t>
      </w:r>
      <w:r w:rsidRPr="006C7EBC">
        <w:rPr>
          <w:szCs w:val="24"/>
          <w:lang w:val="en-US"/>
        </w:rPr>
        <w:t xml:space="preserve"> Renato </w:t>
      </w:r>
      <w:proofErr w:type="spellStart"/>
      <w:r w:rsidRPr="006C7EBC">
        <w:rPr>
          <w:szCs w:val="24"/>
          <w:lang w:val="en-US"/>
        </w:rPr>
        <w:t>Puppi</w:t>
      </w:r>
      <w:proofErr w:type="spellEnd"/>
      <w:r w:rsidRPr="006C7EBC">
        <w:rPr>
          <w:szCs w:val="24"/>
          <w:lang w:val="en-US"/>
        </w:rPr>
        <w:t xml:space="preserve"> </w:t>
      </w:r>
      <w:proofErr w:type="spellStart"/>
      <w:r w:rsidRPr="006C7EBC">
        <w:rPr>
          <w:szCs w:val="24"/>
          <w:lang w:val="en-US"/>
        </w:rPr>
        <w:t>Munhoz</w:t>
      </w:r>
      <w:proofErr w:type="spellEnd"/>
      <w:r w:rsidRPr="006C7EBC">
        <w:rPr>
          <w:szCs w:val="24"/>
          <w:lang w:val="en-US"/>
        </w:rPr>
        <w:t xml:space="preserve">, MD, </w:t>
      </w:r>
      <w:r>
        <w:rPr>
          <w:szCs w:val="24"/>
          <w:lang w:val="en-US"/>
        </w:rPr>
        <w:t>PhD</w:t>
      </w:r>
      <w:r w:rsidRPr="00AC6500">
        <w:rPr>
          <w:szCs w:val="24"/>
          <w:vertAlign w:val="superscript"/>
          <w:lang w:val="en-US"/>
        </w:rPr>
        <w:t>2</w:t>
      </w:r>
      <w:r>
        <w:rPr>
          <w:szCs w:val="24"/>
          <w:lang w:val="en-US"/>
        </w:rPr>
        <w:t>;</w:t>
      </w:r>
      <w:r w:rsidRPr="006C7EBC">
        <w:rPr>
          <w:szCs w:val="24"/>
          <w:lang w:val="en-US"/>
        </w:rPr>
        <w:t xml:space="preserve"> </w:t>
      </w:r>
      <w:proofErr w:type="spellStart"/>
      <w:r w:rsidRPr="006C7EBC">
        <w:rPr>
          <w:szCs w:val="24"/>
          <w:lang w:val="en-US"/>
        </w:rPr>
        <w:t>Hélio</w:t>
      </w:r>
      <w:proofErr w:type="spellEnd"/>
      <w:r w:rsidRPr="006C7EBC">
        <w:rPr>
          <w:szCs w:val="24"/>
          <w:lang w:val="en-US"/>
        </w:rPr>
        <w:t xml:space="preserve"> A. G. </w:t>
      </w:r>
      <w:proofErr w:type="spellStart"/>
      <w:r w:rsidRPr="006C7EBC">
        <w:rPr>
          <w:szCs w:val="24"/>
          <w:lang w:val="en-US"/>
        </w:rPr>
        <w:t>Teive</w:t>
      </w:r>
      <w:proofErr w:type="spellEnd"/>
      <w:r w:rsidRPr="006C7EBC">
        <w:rPr>
          <w:szCs w:val="24"/>
          <w:lang w:val="en-US"/>
        </w:rPr>
        <w:t>, MD, PhD.</w:t>
      </w:r>
      <w:r w:rsidRPr="00AC6500">
        <w:rPr>
          <w:szCs w:val="24"/>
          <w:vertAlign w:val="superscript"/>
          <w:lang w:val="en-US"/>
        </w:rPr>
        <w:t xml:space="preserve"> 2</w:t>
      </w:r>
      <w:r>
        <w:rPr>
          <w:szCs w:val="24"/>
          <w:lang w:val="en-US"/>
        </w:rPr>
        <w:t xml:space="preserve">; </w:t>
      </w:r>
      <w:proofErr w:type="spellStart"/>
      <w:r>
        <w:rPr>
          <w:szCs w:val="24"/>
          <w:lang w:val="en-US"/>
        </w:rPr>
        <w:t>Marcondes</w:t>
      </w:r>
      <w:proofErr w:type="spellEnd"/>
      <w:r>
        <w:rPr>
          <w:szCs w:val="24"/>
          <w:lang w:val="en-US"/>
        </w:rPr>
        <w:t xml:space="preserve"> </w:t>
      </w:r>
      <w:proofErr w:type="spellStart"/>
      <w:r>
        <w:rPr>
          <w:szCs w:val="24"/>
          <w:lang w:val="en-US"/>
        </w:rPr>
        <w:t>Cavalcante</w:t>
      </w:r>
      <w:proofErr w:type="spellEnd"/>
      <w:r>
        <w:rPr>
          <w:szCs w:val="24"/>
          <w:lang w:val="en-US"/>
        </w:rPr>
        <w:t xml:space="preserve"> </w:t>
      </w:r>
      <w:proofErr w:type="spellStart"/>
      <w:r>
        <w:rPr>
          <w:szCs w:val="24"/>
          <w:lang w:val="en-US"/>
        </w:rPr>
        <w:t>França</w:t>
      </w:r>
      <w:proofErr w:type="spellEnd"/>
      <w:r>
        <w:rPr>
          <w:szCs w:val="24"/>
          <w:lang w:val="en-US"/>
        </w:rPr>
        <w:t xml:space="preserve"> Jr</w:t>
      </w:r>
      <w:r w:rsidRPr="00AC6500">
        <w:rPr>
          <w:szCs w:val="24"/>
          <w:vertAlign w:val="superscript"/>
          <w:lang w:val="en-US"/>
        </w:rPr>
        <w:t>1</w:t>
      </w:r>
      <w:r>
        <w:rPr>
          <w:szCs w:val="24"/>
          <w:lang w:val="en-US"/>
        </w:rPr>
        <w:t>, MD, PhD</w:t>
      </w:r>
    </w:p>
    <w:p w:rsidR="001268FE" w:rsidRPr="001268FE" w:rsidRDefault="001268FE" w:rsidP="001268FE">
      <w:pPr>
        <w:jc w:val="center"/>
        <w:rPr>
          <w:sz w:val="20"/>
          <w:szCs w:val="20"/>
          <w:lang w:val="en-US"/>
        </w:rPr>
      </w:pPr>
      <w:proofErr w:type="gramStart"/>
      <w:r w:rsidRPr="001268FE">
        <w:rPr>
          <w:sz w:val="20"/>
          <w:szCs w:val="20"/>
          <w:vertAlign w:val="superscript"/>
          <w:lang w:val="en-US"/>
        </w:rPr>
        <w:t>1</w:t>
      </w:r>
      <w:r w:rsidRPr="001268FE">
        <w:rPr>
          <w:sz w:val="20"/>
          <w:szCs w:val="20"/>
          <w:lang w:val="en-US"/>
        </w:rPr>
        <w:t xml:space="preserve">Department of Neurology, Hospital de </w:t>
      </w:r>
      <w:proofErr w:type="spellStart"/>
      <w:r w:rsidRPr="001268FE">
        <w:rPr>
          <w:sz w:val="20"/>
          <w:szCs w:val="20"/>
          <w:lang w:val="en-US"/>
        </w:rPr>
        <w:t>Clínicas</w:t>
      </w:r>
      <w:proofErr w:type="spellEnd"/>
      <w:r w:rsidRPr="001268FE">
        <w:rPr>
          <w:sz w:val="20"/>
          <w:szCs w:val="20"/>
          <w:lang w:val="en-US"/>
        </w:rPr>
        <w:t>, University of Campinas, UNICAMP, Campinas, SP, Brazil.</w:t>
      </w:r>
      <w:proofErr w:type="gramEnd"/>
    </w:p>
    <w:p w:rsidR="001268FE" w:rsidRPr="001268FE" w:rsidRDefault="001268FE" w:rsidP="001268FE">
      <w:pPr>
        <w:jc w:val="center"/>
        <w:rPr>
          <w:sz w:val="20"/>
          <w:szCs w:val="20"/>
          <w:lang w:val="en-US"/>
        </w:rPr>
      </w:pPr>
      <w:r w:rsidRPr="001268FE">
        <w:rPr>
          <w:sz w:val="20"/>
          <w:szCs w:val="20"/>
          <w:vertAlign w:val="superscript"/>
          <w:lang w:val="en-US"/>
        </w:rPr>
        <w:t>2</w:t>
      </w:r>
      <w:r w:rsidRPr="001268FE">
        <w:rPr>
          <w:sz w:val="20"/>
          <w:szCs w:val="20"/>
          <w:lang w:val="en-US"/>
        </w:rPr>
        <w:t xml:space="preserve">Movement Disorders Unit, Neurology Service, Internal Medicine Department, Hospital de </w:t>
      </w:r>
      <w:proofErr w:type="spellStart"/>
      <w:r w:rsidRPr="001268FE">
        <w:rPr>
          <w:sz w:val="20"/>
          <w:szCs w:val="20"/>
          <w:lang w:val="en-US"/>
        </w:rPr>
        <w:t>Clínicas</w:t>
      </w:r>
      <w:proofErr w:type="spellEnd"/>
      <w:r w:rsidRPr="001268FE">
        <w:rPr>
          <w:sz w:val="20"/>
          <w:szCs w:val="20"/>
          <w:lang w:val="en-US"/>
        </w:rPr>
        <w:t>, Federal University of Paraná, Curitiba, PR, Brazil.</w:t>
      </w:r>
    </w:p>
    <w:p w:rsidR="00263FB4" w:rsidRDefault="00263FB4" w:rsidP="002F1EA5">
      <w:pPr>
        <w:jc w:val="center"/>
        <w:rPr>
          <w:lang w:val="en-US"/>
        </w:rPr>
      </w:pPr>
    </w:p>
    <w:p w:rsidR="00263FB4" w:rsidRDefault="00263FB4" w:rsidP="00E82CAF">
      <w:pPr>
        <w:rPr>
          <w:lang w:val="en-US"/>
        </w:rPr>
      </w:pPr>
      <w:r w:rsidRPr="00263FB4">
        <w:rPr>
          <w:b/>
          <w:lang w:val="en-US"/>
        </w:rPr>
        <w:t>Introduction:</w:t>
      </w:r>
      <w:r w:rsidR="00E82CAF">
        <w:rPr>
          <w:lang w:val="en-US"/>
        </w:rPr>
        <w:t xml:space="preserve"> </w:t>
      </w:r>
      <w:r w:rsidR="00E82CAF">
        <w:rPr>
          <w:szCs w:val="24"/>
          <w:lang w:val="en-US"/>
        </w:rPr>
        <w:t>Motor and non-motor manifestations are common, disabling and bothersome features of Her</w:t>
      </w:r>
      <w:r w:rsidR="00E82CAF" w:rsidRPr="00050624">
        <w:rPr>
          <w:szCs w:val="24"/>
          <w:lang w:val="en-US"/>
        </w:rPr>
        <w:t>editary spastic paraplegia (HSP)</w:t>
      </w:r>
      <w:r w:rsidR="00E82CAF">
        <w:rPr>
          <w:szCs w:val="24"/>
          <w:lang w:val="en-US"/>
        </w:rPr>
        <w:t>,</w:t>
      </w:r>
      <w:r w:rsidR="00E82CAF" w:rsidRPr="00050624">
        <w:rPr>
          <w:szCs w:val="24"/>
          <w:lang w:val="en-US"/>
        </w:rPr>
        <w:t xml:space="preserve"> a heterogeneous group of neurodegenerative disorders characterized by progressive spasticity</w:t>
      </w:r>
      <w:r w:rsidR="00E82CAF">
        <w:rPr>
          <w:szCs w:val="24"/>
          <w:lang w:val="en-US"/>
        </w:rPr>
        <w:t xml:space="preserve"> and weakness of the lower limbs. B</w:t>
      </w:r>
      <w:r w:rsidR="00E82CAF" w:rsidRPr="00050624">
        <w:rPr>
          <w:szCs w:val="24"/>
          <w:lang w:val="en-US"/>
        </w:rPr>
        <w:t xml:space="preserve">otulinum toxin type A </w:t>
      </w:r>
      <w:r w:rsidR="00E82CAF">
        <w:rPr>
          <w:szCs w:val="24"/>
          <w:lang w:val="en-US"/>
        </w:rPr>
        <w:t>(</w:t>
      </w:r>
      <w:proofErr w:type="spellStart"/>
      <w:r w:rsidR="00E82CAF">
        <w:rPr>
          <w:szCs w:val="24"/>
          <w:lang w:val="en-US"/>
        </w:rPr>
        <w:t>Btx</w:t>
      </w:r>
      <w:proofErr w:type="spellEnd"/>
      <w:r w:rsidR="00E82CAF">
        <w:rPr>
          <w:szCs w:val="24"/>
          <w:lang w:val="en-US"/>
        </w:rPr>
        <w:t xml:space="preserve">-A) </w:t>
      </w:r>
      <w:r w:rsidR="00E82CAF" w:rsidRPr="00050624">
        <w:rPr>
          <w:szCs w:val="24"/>
          <w:lang w:val="en-US"/>
        </w:rPr>
        <w:t>is considered an effective</w:t>
      </w:r>
      <w:r w:rsidR="00E82CAF">
        <w:rPr>
          <w:szCs w:val="24"/>
          <w:lang w:val="en-US"/>
        </w:rPr>
        <w:t xml:space="preserve"> and</w:t>
      </w:r>
      <w:r w:rsidR="00E82CAF" w:rsidRPr="00050624">
        <w:rPr>
          <w:szCs w:val="24"/>
          <w:lang w:val="en-US"/>
        </w:rPr>
        <w:t xml:space="preserve"> first-line treatment for spasticity. </w:t>
      </w:r>
      <w:r w:rsidR="00E82CAF">
        <w:rPr>
          <w:szCs w:val="24"/>
          <w:lang w:val="en-US"/>
        </w:rPr>
        <w:t>Therefore we intent</w:t>
      </w:r>
      <w:r w:rsidR="00E82CAF" w:rsidRPr="00050624">
        <w:rPr>
          <w:szCs w:val="24"/>
          <w:lang w:val="en-US"/>
        </w:rPr>
        <w:t xml:space="preserve"> </w:t>
      </w:r>
      <w:r w:rsidR="00E82CAF">
        <w:rPr>
          <w:szCs w:val="24"/>
          <w:lang w:val="en-US"/>
        </w:rPr>
        <w:t xml:space="preserve">to assess </w:t>
      </w:r>
      <w:r w:rsidR="00E82CAF" w:rsidRPr="00050624">
        <w:rPr>
          <w:szCs w:val="24"/>
          <w:lang w:val="en-US"/>
        </w:rPr>
        <w:t xml:space="preserve">the efficacy of </w:t>
      </w:r>
      <w:proofErr w:type="spellStart"/>
      <w:r w:rsidR="00E82CAF">
        <w:rPr>
          <w:szCs w:val="24"/>
          <w:lang w:val="en-US"/>
        </w:rPr>
        <w:t>Btx</w:t>
      </w:r>
      <w:proofErr w:type="spellEnd"/>
      <w:r w:rsidR="00E82CAF">
        <w:rPr>
          <w:szCs w:val="24"/>
          <w:lang w:val="en-US"/>
        </w:rPr>
        <w:t>-</w:t>
      </w:r>
      <w:proofErr w:type="gramStart"/>
      <w:r w:rsidR="00E82CAF">
        <w:rPr>
          <w:szCs w:val="24"/>
          <w:lang w:val="en-US"/>
        </w:rPr>
        <w:t>A</w:t>
      </w:r>
      <w:proofErr w:type="gramEnd"/>
      <w:r w:rsidR="00E82CAF" w:rsidRPr="00050624">
        <w:rPr>
          <w:szCs w:val="24"/>
          <w:lang w:val="en-US"/>
        </w:rPr>
        <w:t xml:space="preserve"> in patients with HSP.</w:t>
      </w:r>
    </w:p>
    <w:p w:rsidR="00263FB4" w:rsidRDefault="00263FB4" w:rsidP="00E82CAF">
      <w:pPr>
        <w:rPr>
          <w:lang w:val="en-US"/>
        </w:rPr>
      </w:pPr>
      <w:r w:rsidRPr="00263FB4">
        <w:rPr>
          <w:b/>
          <w:lang w:val="en-US"/>
        </w:rPr>
        <w:t>Materials and Methods:</w:t>
      </w:r>
      <w:r>
        <w:rPr>
          <w:lang w:val="en-US"/>
        </w:rPr>
        <w:t xml:space="preserve"> </w:t>
      </w:r>
      <w:r w:rsidR="00E82CAF">
        <w:rPr>
          <w:szCs w:val="24"/>
          <w:lang w:val="en-US"/>
        </w:rPr>
        <w:t xml:space="preserve">Thirty-three </w:t>
      </w:r>
      <w:r w:rsidR="00E82CAF" w:rsidRPr="00050624">
        <w:rPr>
          <w:szCs w:val="24"/>
          <w:lang w:val="en-US"/>
        </w:rPr>
        <w:t xml:space="preserve">Brazilian patients with pure </w:t>
      </w:r>
      <w:r w:rsidR="00E82CAF">
        <w:rPr>
          <w:szCs w:val="24"/>
          <w:lang w:val="en-US"/>
        </w:rPr>
        <w:t xml:space="preserve">and complicated </w:t>
      </w:r>
      <w:r w:rsidR="00E82CAF" w:rsidRPr="00050624">
        <w:rPr>
          <w:szCs w:val="24"/>
          <w:lang w:val="en-US"/>
        </w:rPr>
        <w:t>HSP</w:t>
      </w:r>
      <w:r w:rsidR="00E82CAF">
        <w:rPr>
          <w:szCs w:val="24"/>
          <w:lang w:val="en-US"/>
        </w:rPr>
        <w:t xml:space="preserve"> were evaluated before and after </w:t>
      </w:r>
      <w:r w:rsidR="00E82CAF" w:rsidRPr="00050624">
        <w:rPr>
          <w:szCs w:val="24"/>
          <w:lang w:val="en-US"/>
        </w:rPr>
        <w:t xml:space="preserve">the administration of </w:t>
      </w:r>
      <w:proofErr w:type="spellStart"/>
      <w:r w:rsidR="00E82CAF">
        <w:rPr>
          <w:szCs w:val="24"/>
          <w:lang w:val="en-US"/>
        </w:rPr>
        <w:t>Btx</w:t>
      </w:r>
      <w:proofErr w:type="spellEnd"/>
      <w:r w:rsidR="00E82CAF">
        <w:rPr>
          <w:szCs w:val="24"/>
          <w:lang w:val="en-US"/>
        </w:rPr>
        <w:t xml:space="preserve">-A by the Spastic Paraplegia Rating Scale, Modified Fatigue Impact Scale, Epworth Sleepiness Scale, Brief Pain Inventory, Beck Depression Inventory, Modified Ashworth Scale, Medical Research Council scale and </w:t>
      </w:r>
      <w:r w:rsidR="00E82CAF" w:rsidRPr="00C618D3">
        <w:rPr>
          <w:szCs w:val="24"/>
          <w:lang w:val="en-US"/>
        </w:rPr>
        <w:t>walking speed</w:t>
      </w:r>
      <w:r w:rsidR="00E82CAF">
        <w:rPr>
          <w:szCs w:val="24"/>
          <w:lang w:val="en-US"/>
        </w:rPr>
        <w:t xml:space="preserve"> for </w:t>
      </w:r>
      <w:r w:rsidR="00E82CAF" w:rsidRPr="00C618D3">
        <w:rPr>
          <w:szCs w:val="24"/>
          <w:lang w:val="en-US"/>
        </w:rPr>
        <w:t>10 meters.</w:t>
      </w:r>
    </w:p>
    <w:p w:rsidR="00263FB4" w:rsidRDefault="00263FB4" w:rsidP="00E82CAF">
      <w:pPr>
        <w:rPr>
          <w:lang w:val="en-US"/>
        </w:rPr>
      </w:pPr>
      <w:r w:rsidRPr="00263FB4">
        <w:rPr>
          <w:b/>
          <w:lang w:val="en-US"/>
        </w:rPr>
        <w:t>Results:</w:t>
      </w:r>
      <w:r>
        <w:rPr>
          <w:lang w:val="en-US"/>
        </w:rPr>
        <w:t xml:space="preserve"> </w:t>
      </w:r>
      <w:r w:rsidR="00E82CAF" w:rsidRPr="0058016A">
        <w:rPr>
          <w:szCs w:val="24"/>
          <w:lang w:val="en-US"/>
        </w:rPr>
        <w:t>M</w:t>
      </w:r>
      <w:r w:rsidR="00E82CAF" w:rsidRPr="00E11022">
        <w:rPr>
          <w:szCs w:val="24"/>
          <w:lang w:val="en-US"/>
        </w:rPr>
        <w:t>ean</w:t>
      </w:r>
      <w:r w:rsidR="00E82CAF">
        <w:rPr>
          <w:szCs w:val="24"/>
          <w:lang w:val="en-US"/>
        </w:rPr>
        <w:t xml:space="preserve"> age of patients was </w:t>
      </w:r>
      <w:r w:rsidR="00E82CAF">
        <w:rPr>
          <w:szCs w:val="24"/>
        </w:rPr>
        <w:t>41</w:t>
      </w:r>
      <w:r w:rsidR="00E82CAF" w:rsidRPr="00E11022">
        <w:rPr>
          <w:szCs w:val="24"/>
        </w:rPr>
        <w:t xml:space="preserve">.7 </w:t>
      </w:r>
      <w:r w:rsidR="00E82CAF" w:rsidRPr="00E11022">
        <w:rPr>
          <w:szCs w:val="24"/>
        </w:rPr>
        <w:sym w:font="Symbol" w:char="F0B1"/>
      </w:r>
      <w:r w:rsidR="00E82CAF" w:rsidRPr="00E11022">
        <w:rPr>
          <w:szCs w:val="24"/>
        </w:rPr>
        <w:t>13.</w:t>
      </w:r>
      <w:r w:rsidR="00E82CAF">
        <w:rPr>
          <w:szCs w:val="24"/>
        </w:rPr>
        <w:t xml:space="preserve">6 </w:t>
      </w:r>
      <w:proofErr w:type="spellStart"/>
      <w:r w:rsidR="00E82CAF">
        <w:rPr>
          <w:szCs w:val="24"/>
        </w:rPr>
        <w:t>years</w:t>
      </w:r>
      <w:proofErr w:type="spellEnd"/>
      <w:r w:rsidR="00E82CAF">
        <w:rPr>
          <w:szCs w:val="24"/>
        </w:rPr>
        <w:t xml:space="preserve"> </w:t>
      </w:r>
      <w:proofErr w:type="spellStart"/>
      <w:r w:rsidR="00E82CAF">
        <w:rPr>
          <w:szCs w:val="24"/>
        </w:rPr>
        <w:t>and</w:t>
      </w:r>
      <w:proofErr w:type="spellEnd"/>
      <w:r w:rsidR="00E82CAF">
        <w:rPr>
          <w:szCs w:val="24"/>
        </w:rPr>
        <w:t xml:space="preserve"> </w:t>
      </w:r>
      <w:proofErr w:type="spellStart"/>
      <w:r w:rsidR="00E82CAF">
        <w:rPr>
          <w:szCs w:val="24"/>
        </w:rPr>
        <w:t>there</w:t>
      </w:r>
      <w:proofErr w:type="spellEnd"/>
      <w:r w:rsidR="00E82CAF">
        <w:rPr>
          <w:szCs w:val="24"/>
        </w:rPr>
        <w:t xml:space="preserve"> </w:t>
      </w:r>
      <w:proofErr w:type="spellStart"/>
      <w:r w:rsidR="00E82CAF">
        <w:rPr>
          <w:szCs w:val="24"/>
        </w:rPr>
        <w:t>were</w:t>
      </w:r>
      <w:proofErr w:type="spellEnd"/>
      <w:r w:rsidR="00E82CAF">
        <w:rPr>
          <w:szCs w:val="24"/>
        </w:rPr>
        <w:t xml:space="preserve"> 18 </w:t>
      </w:r>
      <w:proofErr w:type="spellStart"/>
      <w:r w:rsidR="00E82CAF">
        <w:rPr>
          <w:szCs w:val="24"/>
        </w:rPr>
        <w:t>women</w:t>
      </w:r>
      <w:proofErr w:type="spellEnd"/>
      <w:r w:rsidR="00E82CAF">
        <w:rPr>
          <w:szCs w:val="24"/>
        </w:rPr>
        <w:t>.</w:t>
      </w:r>
      <w:r w:rsidR="00E82CAF">
        <w:rPr>
          <w:b/>
          <w:szCs w:val="24"/>
          <w:lang w:val="en-US"/>
        </w:rPr>
        <w:t xml:space="preserve"> </w:t>
      </w:r>
      <w:r w:rsidR="00E82CAF">
        <w:rPr>
          <w:szCs w:val="24"/>
          <w:lang w:val="en-US"/>
        </w:rPr>
        <w:t xml:space="preserve">Most patients had a pure phenotype and </w:t>
      </w:r>
      <w:r w:rsidR="00E82CAF" w:rsidRPr="003058D4">
        <w:rPr>
          <w:i/>
          <w:szCs w:val="24"/>
          <w:lang w:val="en-US"/>
        </w:rPr>
        <w:t>SPG4</w:t>
      </w:r>
      <w:r w:rsidR="00E82CAF">
        <w:rPr>
          <w:szCs w:val="24"/>
          <w:lang w:val="en-US"/>
        </w:rPr>
        <w:t xml:space="preserve"> was the most frequent genotype (45.4%). </w:t>
      </w:r>
      <w:proofErr w:type="spellStart"/>
      <w:r w:rsidR="00E82CAF">
        <w:rPr>
          <w:szCs w:val="24"/>
          <w:lang w:val="en-US"/>
        </w:rPr>
        <w:t>Btx</w:t>
      </w:r>
      <w:proofErr w:type="spellEnd"/>
      <w:r w:rsidR="00E82CAF">
        <w:rPr>
          <w:szCs w:val="24"/>
          <w:lang w:val="en-US"/>
        </w:rPr>
        <w:t>-</w:t>
      </w:r>
      <w:proofErr w:type="gramStart"/>
      <w:r w:rsidR="00E82CAF">
        <w:rPr>
          <w:szCs w:val="24"/>
          <w:lang w:val="en-US"/>
        </w:rPr>
        <w:t>A</w:t>
      </w:r>
      <w:proofErr w:type="gramEnd"/>
      <w:r w:rsidR="00E82CAF">
        <w:rPr>
          <w:szCs w:val="24"/>
          <w:lang w:val="en-US"/>
        </w:rPr>
        <w:t xml:space="preserve"> applications resulted in decrease of spasticity at the adductor muscles, but no other significant motor change. In contrast, patients noticed improved fatigue after the treatment</w:t>
      </w:r>
      <w:r w:rsidR="001567A6">
        <w:rPr>
          <w:szCs w:val="24"/>
          <w:lang w:val="en-US"/>
        </w:rPr>
        <w:t>. This study occurred between February/2013 and December/2014.</w:t>
      </w:r>
    </w:p>
    <w:p w:rsidR="00263FB4" w:rsidRDefault="00263FB4" w:rsidP="00E82CAF">
      <w:pPr>
        <w:rPr>
          <w:lang w:val="en-US"/>
        </w:rPr>
      </w:pPr>
      <w:r w:rsidRPr="00263FB4">
        <w:rPr>
          <w:b/>
          <w:lang w:val="en-US"/>
        </w:rPr>
        <w:t>Discussion:</w:t>
      </w:r>
      <w:r w:rsidR="00E82CAF">
        <w:rPr>
          <w:lang w:val="en-US"/>
        </w:rPr>
        <w:t xml:space="preserve"> </w:t>
      </w:r>
      <w:r w:rsidR="00F02221">
        <w:rPr>
          <w:lang w:val="en-US"/>
        </w:rPr>
        <w:t>In terms of motor manifestations, o</w:t>
      </w:r>
      <w:r w:rsidR="00E82CAF">
        <w:rPr>
          <w:szCs w:val="24"/>
          <w:lang w:val="en-US"/>
        </w:rPr>
        <w:t xml:space="preserve">ur study identified hip adductor spasticity improvement as the main result but no significant functional gain, since gait velocity remained stable between applications. This is in contrast to Rousseaux and De </w:t>
      </w:r>
      <w:proofErr w:type="spellStart"/>
      <w:r w:rsidR="00E82CAF">
        <w:rPr>
          <w:szCs w:val="24"/>
          <w:lang w:val="en-US"/>
        </w:rPr>
        <w:t>Niet</w:t>
      </w:r>
      <w:proofErr w:type="spellEnd"/>
      <w:r w:rsidR="00E82CAF">
        <w:rPr>
          <w:szCs w:val="24"/>
          <w:lang w:val="en-US"/>
        </w:rPr>
        <w:t xml:space="preserve"> who found positive results with </w:t>
      </w:r>
      <w:proofErr w:type="spellStart"/>
      <w:r w:rsidR="00E82CAF">
        <w:rPr>
          <w:szCs w:val="24"/>
          <w:lang w:val="en-US"/>
        </w:rPr>
        <w:t>Btx</w:t>
      </w:r>
      <w:proofErr w:type="spellEnd"/>
      <w:r w:rsidR="00E82CAF">
        <w:rPr>
          <w:szCs w:val="24"/>
          <w:lang w:val="en-US"/>
        </w:rPr>
        <w:t>-A in comfortable gait velocity, but not in maximum gait spee</w:t>
      </w:r>
      <w:r w:rsidR="00B42E65">
        <w:rPr>
          <w:szCs w:val="24"/>
          <w:lang w:val="en-US"/>
        </w:rPr>
        <w:t>d</w:t>
      </w:r>
      <w:r w:rsidR="00E82CAF">
        <w:rPr>
          <w:szCs w:val="24"/>
          <w:lang w:val="en-US"/>
        </w:rPr>
        <w:t>. We believe that such differences might be due to the different application protocols and also the distinct profile of the patients in each study.</w:t>
      </w:r>
      <w:r w:rsidR="00763D6F">
        <w:rPr>
          <w:szCs w:val="24"/>
          <w:lang w:val="en-US"/>
        </w:rPr>
        <w:t xml:space="preserve"> The major contribution of this study was the assessment of </w:t>
      </w:r>
      <w:proofErr w:type="spellStart"/>
      <w:r w:rsidR="00763D6F">
        <w:rPr>
          <w:szCs w:val="24"/>
          <w:lang w:val="en-US"/>
        </w:rPr>
        <w:t>Btx</w:t>
      </w:r>
      <w:proofErr w:type="spellEnd"/>
      <w:r w:rsidR="00763D6F">
        <w:rPr>
          <w:szCs w:val="24"/>
          <w:lang w:val="en-US"/>
        </w:rPr>
        <w:t>-</w:t>
      </w:r>
      <w:proofErr w:type="gramStart"/>
      <w:r w:rsidR="00763D6F">
        <w:rPr>
          <w:szCs w:val="24"/>
          <w:lang w:val="en-US"/>
        </w:rPr>
        <w:t>A</w:t>
      </w:r>
      <w:proofErr w:type="gramEnd"/>
      <w:r w:rsidR="00763D6F">
        <w:rPr>
          <w:szCs w:val="24"/>
          <w:lang w:val="en-US"/>
        </w:rPr>
        <w:t xml:space="preserve"> on HSP-related non-motor manifestations. We found a significant improvement of fatigue after treatment, especially its physical domain. So, we hypothesize that </w:t>
      </w:r>
      <w:proofErr w:type="spellStart"/>
      <w:r w:rsidR="00763D6F">
        <w:rPr>
          <w:szCs w:val="24"/>
          <w:lang w:val="en-US"/>
        </w:rPr>
        <w:t>Btx</w:t>
      </w:r>
      <w:proofErr w:type="spellEnd"/>
      <w:r w:rsidR="00763D6F">
        <w:rPr>
          <w:szCs w:val="24"/>
          <w:lang w:val="en-US"/>
        </w:rPr>
        <w:t>-A relieves spasticity, improves the biomechanics of gait and therefore, improves fatigue in these subjects. Pain is another important and frequent non-motor feature of HSP, affecting</w:t>
      </w:r>
      <w:r w:rsidR="00B42E65">
        <w:rPr>
          <w:szCs w:val="24"/>
          <w:lang w:val="en-US"/>
        </w:rPr>
        <w:t xml:space="preserve"> 73.3% of patients and s</w:t>
      </w:r>
      <w:r w:rsidR="00763D6F">
        <w:rPr>
          <w:szCs w:val="24"/>
          <w:lang w:val="en-US"/>
        </w:rPr>
        <w:t xml:space="preserve">urprisingly, we were not able to demonstrate significant pain improvement after </w:t>
      </w:r>
      <w:proofErr w:type="spellStart"/>
      <w:r w:rsidR="00763D6F">
        <w:rPr>
          <w:szCs w:val="24"/>
          <w:lang w:val="en-US"/>
        </w:rPr>
        <w:t>Btx</w:t>
      </w:r>
      <w:proofErr w:type="spellEnd"/>
      <w:r w:rsidR="00763D6F">
        <w:rPr>
          <w:szCs w:val="24"/>
          <w:lang w:val="en-US"/>
        </w:rPr>
        <w:t>-</w:t>
      </w:r>
      <w:proofErr w:type="gramStart"/>
      <w:r w:rsidR="00763D6F">
        <w:rPr>
          <w:szCs w:val="24"/>
          <w:lang w:val="en-US"/>
        </w:rPr>
        <w:t>A</w:t>
      </w:r>
      <w:proofErr w:type="gramEnd"/>
      <w:r w:rsidR="00763D6F">
        <w:rPr>
          <w:szCs w:val="24"/>
          <w:lang w:val="en-US"/>
        </w:rPr>
        <w:t xml:space="preserve"> injections. One possible explanation is that this cohort was largely pain-free (mean BPI intensity score &lt;2), so that identification of further improvement was difficult (floor effect). Additionally, injection protocols were different for each patient in terms of doses and application sites. So, we believe that some patients might have improved, whereas others did not. Then, </w:t>
      </w:r>
      <w:proofErr w:type="gramStart"/>
      <w:r w:rsidR="00763D6F">
        <w:rPr>
          <w:szCs w:val="24"/>
          <w:lang w:val="en-US"/>
        </w:rPr>
        <w:t>lumping</w:t>
      </w:r>
      <w:proofErr w:type="gramEnd"/>
      <w:r w:rsidR="00763D6F">
        <w:rPr>
          <w:szCs w:val="24"/>
          <w:lang w:val="en-US"/>
        </w:rPr>
        <w:t xml:space="preserve"> all patients together, we might have lost statistical significance on these effects.</w:t>
      </w:r>
    </w:p>
    <w:p w:rsidR="00263FB4" w:rsidRPr="000557A7" w:rsidRDefault="00263FB4" w:rsidP="00E82CAF">
      <w:pPr>
        <w:rPr>
          <w:lang w:val="en-US"/>
        </w:rPr>
      </w:pPr>
      <w:r w:rsidRPr="00263FB4">
        <w:rPr>
          <w:b/>
          <w:lang w:val="en-US"/>
        </w:rPr>
        <w:t>Conclusion:</w:t>
      </w:r>
      <w:r>
        <w:rPr>
          <w:b/>
          <w:lang w:val="en-US"/>
        </w:rPr>
        <w:t xml:space="preserve"> </w:t>
      </w:r>
      <w:r w:rsidR="00E82CAF">
        <w:rPr>
          <w:szCs w:val="24"/>
          <w:lang w:val="en-US"/>
        </w:rPr>
        <w:t>In this uncontrolled study,</w:t>
      </w:r>
      <w:r w:rsidR="00E82CAF" w:rsidRPr="00672697">
        <w:rPr>
          <w:szCs w:val="24"/>
          <w:lang w:val="en-US"/>
        </w:rPr>
        <w:t xml:space="preserve"> </w:t>
      </w:r>
      <w:proofErr w:type="spellStart"/>
      <w:r w:rsidR="00E82CAF">
        <w:rPr>
          <w:szCs w:val="24"/>
          <w:lang w:val="en-US"/>
        </w:rPr>
        <w:t>Btx</w:t>
      </w:r>
      <w:proofErr w:type="spellEnd"/>
      <w:r w:rsidR="00E82CAF">
        <w:rPr>
          <w:szCs w:val="24"/>
          <w:lang w:val="en-US"/>
        </w:rPr>
        <w:t xml:space="preserve">-A resulted in no significant functional motor improvement for HSP, but fatigue improved after treatment. Further controlled studies are needed to determine whether </w:t>
      </w:r>
      <w:proofErr w:type="spellStart"/>
      <w:r w:rsidR="00E82CAF">
        <w:rPr>
          <w:szCs w:val="24"/>
          <w:lang w:val="en-US"/>
        </w:rPr>
        <w:t>Btx</w:t>
      </w:r>
      <w:proofErr w:type="spellEnd"/>
      <w:r w:rsidR="00E82CAF">
        <w:rPr>
          <w:szCs w:val="24"/>
          <w:lang w:val="en-US"/>
        </w:rPr>
        <w:t>-A is useful for subjects with HSP.</w:t>
      </w:r>
    </w:p>
    <w:p w:rsidR="00263FB4" w:rsidRPr="00102007" w:rsidRDefault="00263FB4" w:rsidP="00B42E65">
      <w:pPr>
        <w:pStyle w:val="EndNoteBibliography"/>
        <w:spacing w:after="480" w:line="240" w:lineRule="auto"/>
      </w:pPr>
      <w:r w:rsidRPr="00102007">
        <w:rPr>
          <w:b/>
        </w:rPr>
        <w:t xml:space="preserve">References: </w:t>
      </w:r>
      <w:r w:rsidRPr="00102007">
        <w:t xml:space="preserve">[1] </w:t>
      </w:r>
      <w:r w:rsidR="00A15935">
        <w:t xml:space="preserve">Rousseaux M et al., Eur J Neurol. 14:206-212, </w:t>
      </w:r>
      <w:r w:rsidR="00A15935" w:rsidRPr="00C976E3">
        <w:t>2007</w:t>
      </w:r>
      <w:r w:rsidR="00A15935">
        <w:t>;</w:t>
      </w:r>
      <w:r w:rsidR="00C85417" w:rsidRPr="00102007">
        <w:t xml:space="preserve"> [2] </w:t>
      </w:r>
      <w:r w:rsidR="00B42E65" w:rsidRPr="00C976E3">
        <w:t>de Niet M</w:t>
      </w:r>
      <w:r w:rsidR="00A15935">
        <w:t xml:space="preserve"> et al</w:t>
      </w:r>
      <w:r w:rsidR="00B42E65" w:rsidRPr="00C976E3">
        <w:t>.</w:t>
      </w:r>
      <w:r w:rsidR="00A15935">
        <w:t xml:space="preserve">, J Rehabil Med. </w:t>
      </w:r>
      <w:r w:rsidR="00B42E65" w:rsidRPr="00C976E3">
        <w:t>47:147-153</w:t>
      </w:r>
      <w:r w:rsidR="00A15935">
        <w:t>, 2015</w:t>
      </w:r>
      <w:r w:rsidR="00B42E65">
        <w:t>; [3</w:t>
      </w:r>
      <w:r w:rsidR="00B42E65" w:rsidRPr="00102007">
        <w:t xml:space="preserve">] </w:t>
      </w:r>
      <w:r w:rsidR="00B42E65" w:rsidRPr="00C976E3">
        <w:t>Servelhere KR</w:t>
      </w:r>
      <w:r w:rsidR="00A15935">
        <w:t xml:space="preserve"> et al.</w:t>
      </w:r>
      <w:r w:rsidR="00B42E65" w:rsidRPr="00C976E3">
        <w:t>, Eur J Neurol. 23:408-4</w:t>
      </w:r>
      <w:r w:rsidR="00A15935">
        <w:t xml:space="preserve">11, </w:t>
      </w:r>
      <w:bookmarkStart w:id="0" w:name="_GoBack"/>
      <w:bookmarkEnd w:id="0"/>
      <w:r w:rsidR="00A15935" w:rsidRPr="00C976E3">
        <w:t>2016</w:t>
      </w:r>
      <w:r w:rsidR="00A15935">
        <w:t>.</w:t>
      </w:r>
    </w:p>
    <w:sectPr w:rsidR="00263FB4" w:rsidRPr="00102007" w:rsidSect="00743343">
      <w:headerReference w:type="default" r:id="rId7"/>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60D" w:rsidRDefault="0042760D" w:rsidP="00743343">
      <w:r>
        <w:separator/>
      </w:r>
    </w:p>
  </w:endnote>
  <w:endnote w:type="continuationSeparator" w:id="0">
    <w:p w:rsidR="0042760D" w:rsidRDefault="0042760D"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60D" w:rsidRDefault="0042760D" w:rsidP="00743343">
      <w:r>
        <w:separator/>
      </w:r>
    </w:p>
  </w:footnote>
  <w:footnote w:type="continuationSeparator" w:id="0">
    <w:p w:rsidR="0042760D" w:rsidRDefault="0042760D" w:rsidP="0074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43" w:rsidRPr="000557A7" w:rsidRDefault="001B0643" w:rsidP="000557A7">
    <w:pPr>
      <w:pStyle w:val="Cabealho"/>
      <w:jc w:val="right"/>
      <w:rPr>
        <w:rFonts w:asciiTheme="minorHAnsi" w:hAnsiTheme="minorHAnsi"/>
        <w:lang w:val="en-US"/>
      </w:rPr>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5362575</wp:posOffset>
              </wp:positionH>
              <wp:positionV relativeFrom="paragraph">
                <wp:posOffset>-377825</wp:posOffset>
              </wp:positionV>
              <wp:extent cx="1437005" cy="580390"/>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2.25pt;margin-top:-29.75pt;width:113.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" stroked="f">
              <v:textbox>
                <w:txbxContent>
                  <w:p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mc:Fallback>
      </mc:AlternateContent>
    </w:r>
    <w:r w:rsidR="00743343">
      <w:rPr>
        <w:noProof/>
        <w:lang w:eastAsia="pt-BR"/>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A5"/>
    <w:rsid w:val="0003597F"/>
    <w:rsid w:val="00042C87"/>
    <w:rsid w:val="000557A7"/>
    <w:rsid w:val="00071DAD"/>
    <w:rsid w:val="000D04F4"/>
    <w:rsid w:val="000D4088"/>
    <w:rsid w:val="00102007"/>
    <w:rsid w:val="001268FE"/>
    <w:rsid w:val="001567A6"/>
    <w:rsid w:val="001B0643"/>
    <w:rsid w:val="00262DE0"/>
    <w:rsid w:val="00263FB4"/>
    <w:rsid w:val="00264FBA"/>
    <w:rsid w:val="002C3BE6"/>
    <w:rsid w:val="002E5535"/>
    <w:rsid w:val="002F1EA5"/>
    <w:rsid w:val="003060E9"/>
    <w:rsid w:val="003513A8"/>
    <w:rsid w:val="00391D25"/>
    <w:rsid w:val="003B0DB9"/>
    <w:rsid w:val="003B57E3"/>
    <w:rsid w:val="004061C0"/>
    <w:rsid w:val="0042760D"/>
    <w:rsid w:val="00463BB7"/>
    <w:rsid w:val="004647A5"/>
    <w:rsid w:val="0049470E"/>
    <w:rsid w:val="00495481"/>
    <w:rsid w:val="004D3FC7"/>
    <w:rsid w:val="005E1B59"/>
    <w:rsid w:val="00661827"/>
    <w:rsid w:val="00743343"/>
    <w:rsid w:val="00763D6F"/>
    <w:rsid w:val="007B35CF"/>
    <w:rsid w:val="00832B02"/>
    <w:rsid w:val="00A15935"/>
    <w:rsid w:val="00A25F3B"/>
    <w:rsid w:val="00AD5A4B"/>
    <w:rsid w:val="00B04BD1"/>
    <w:rsid w:val="00B42E65"/>
    <w:rsid w:val="00B52F14"/>
    <w:rsid w:val="00B64A0D"/>
    <w:rsid w:val="00B85F09"/>
    <w:rsid w:val="00C171DE"/>
    <w:rsid w:val="00C85417"/>
    <w:rsid w:val="00E01CE3"/>
    <w:rsid w:val="00E24564"/>
    <w:rsid w:val="00E50AB8"/>
    <w:rsid w:val="00E82CAF"/>
    <w:rsid w:val="00EA6C72"/>
    <w:rsid w:val="00F02221"/>
    <w:rsid w:val="00F52674"/>
    <w:rsid w:val="00FB6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basedOn w:val="Fontepargpadro"/>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paragraph" w:customStyle="1" w:styleId="EndNoteBibliography">
    <w:name w:val="EndNote Bibliography"/>
    <w:basedOn w:val="Normal"/>
    <w:link w:val="EndNoteBibliographyChar"/>
    <w:rsid w:val="00B42E65"/>
    <w:pPr>
      <w:spacing w:after="200" w:line="480" w:lineRule="auto"/>
      <w:jc w:val="left"/>
    </w:pPr>
    <w:rPr>
      <w:noProof/>
      <w:lang w:val="en-US"/>
    </w:rPr>
  </w:style>
  <w:style w:type="character" w:customStyle="1" w:styleId="EndNoteBibliographyChar">
    <w:name w:val="EndNote Bibliography Char"/>
    <w:link w:val="EndNoteBibliography"/>
    <w:rsid w:val="00B42E65"/>
    <w:rPr>
      <w:rFonts w:ascii="Times New Roman" w:hAnsi="Times New Roman" w:cs="Times New Roman"/>
      <w:noProof/>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basedOn w:val="Fontepargpadro"/>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paragraph" w:customStyle="1" w:styleId="EndNoteBibliography">
    <w:name w:val="EndNote Bibliography"/>
    <w:basedOn w:val="Normal"/>
    <w:link w:val="EndNoteBibliographyChar"/>
    <w:rsid w:val="00B42E65"/>
    <w:pPr>
      <w:spacing w:after="200" w:line="480" w:lineRule="auto"/>
      <w:jc w:val="left"/>
    </w:pPr>
    <w:rPr>
      <w:noProof/>
      <w:lang w:val="en-US"/>
    </w:rPr>
  </w:style>
  <w:style w:type="character" w:customStyle="1" w:styleId="EndNoteBibliographyChar">
    <w:name w:val="EndNote Bibliography Char"/>
    <w:link w:val="EndNoteBibliography"/>
    <w:rsid w:val="00B42E65"/>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603</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Katiane</cp:lastModifiedBy>
  <cp:revision>6</cp:revision>
  <dcterms:created xsi:type="dcterms:W3CDTF">2017-02-07T11:40:00Z</dcterms:created>
  <dcterms:modified xsi:type="dcterms:W3CDTF">2017-03-03T13:20:00Z</dcterms:modified>
</cp:coreProperties>
</file>