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8738B5" w14:textId="7DB54CCB" w:rsidR="002F1EA5" w:rsidRDefault="0045165A" w:rsidP="002F1EA5">
      <w:pPr>
        <w:jc w:val="center"/>
        <w:rPr>
          <w:b/>
          <w:sz w:val="28"/>
          <w:lang w:val="en-US"/>
        </w:rPr>
      </w:pPr>
      <w:r>
        <w:rPr>
          <w:b/>
          <w:sz w:val="28"/>
          <w:lang w:val="en-US"/>
        </w:rPr>
        <w:t>Applic</w:t>
      </w:r>
      <w:r w:rsidR="00F446FC">
        <w:rPr>
          <w:b/>
          <w:sz w:val="28"/>
          <w:lang w:val="en-US"/>
        </w:rPr>
        <w:t xml:space="preserve">ation and </w:t>
      </w:r>
      <w:r w:rsidR="005C46B4">
        <w:rPr>
          <w:b/>
          <w:sz w:val="28"/>
          <w:lang w:val="en-US"/>
        </w:rPr>
        <w:t>Characterization</w:t>
      </w:r>
      <w:r w:rsidR="00F446FC">
        <w:rPr>
          <w:b/>
          <w:sz w:val="28"/>
          <w:lang w:val="en-US"/>
        </w:rPr>
        <w:t xml:space="preserve"> of Neural Probes</w:t>
      </w:r>
    </w:p>
    <w:p w14:paraId="298738B6" w14:textId="77777777" w:rsidR="00E24564" w:rsidRPr="00E24564" w:rsidRDefault="00E24564" w:rsidP="002F1EA5">
      <w:pPr>
        <w:jc w:val="center"/>
        <w:rPr>
          <w:lang w:val="en-US"/>
        </w:rPr>
      </w:pPr>
    </w:p>
    <w:p w14:paraId="298738B7" w14:textId="77777777" w:rsidR="002F1EA5" w:rsidRPr="0011795E" w:rsidRDefault="00F446FC" w:rsidP="002F1EA5">
      <w:pPr>
        <w:jc w:val="center"/>
        <w:rPr>
          <w:vertAlign w:val="superscript"/>
        </w:rPr>
      </w:pPr>
      <w:r w:rsidRPr="00F446FC">
        <w:t>E. V. Dias</w:t>
      </w:r>
      <w:r w:rsidR="00BD3A55">
        <w:rPr>
          <w:vertAlign w:val="superscript"/>
        </w:rPr>
        <w:t>1</w:t>
      </w:r>
      <w:r w:rsidR="002F1EA5" w:rsidRPr="00F446FC">
        <w:t xml:space="preserve">, </w:t>
      </w:r>
      <w:r w:rsidRPr="00F446FC">
        <w:t xml:space="preserve">A. S. </w:t>
      </w:r>
      <w:r>
        <w:t>Vieira</w:t>
      </w:r>
      <w:r w:rsidR="002F1EA5" w:rsidRPr="00F446FC">
        <w:rPr>
          <w:vertAlign w:val="superscript"/>
        </w:rPr>
        <w:t>2</w:t>
      </w:r>
      <w:r w:rsidR="002F1EA5" w:rsidRPr="00F446FC">
        <w:t xml:space="preserve">, </w:t>
      </w:r>
      <w:r>
        <w:t>R. Panepucci</w:t>
      </w:r>
      <w:r>
        <w:rPr>
          <w:vertAlign w:val="superscript"/>
        </w:rPr>
        <w:t>3</w:t>
      </w:r>
      <w:r>
        <w:t>, R. Covolan</w:t>
      </w:r>
      <w:r w:rsidR="00BD3A55">
        <w:rPr>
          <w:vertAlign w:val="superscript"/>
        </w:rPr>
        <w:t>4</w:t>
      </w:r>
      <w:r w:rsidR="0011795E">
        <w:t xml:space="preserve">, </w:t>
      </w:r>
      <w:r w:rsidR="0011795E" w:rsidRPr="001E0072">
        <w:t>I.</w:t>
      </w:r>
      <w:r w:rsidR="0011795E">
        <w:t xml:space="preserve"> T. L. Cendes</w:t>
      </w:r>
      <w:r w:rsidR="0011795E">
        <w:rPr>
          <w:vertAlign w:val="superscript"/>
        </w:rPr>
        <w:t>2</w:t>
      </w:r>
      <w:r w:rsidR="0011795E">
        <w:t>, F. Cendes</w:t>
      </w:r>
      <w:r w:rsidR="0011795E">
        <w:rPr>
          <w:vertAlign w:val="superscript"/>
        </w:rPr>
        <w:t>4</w:t>
      </w:r>
    </w:p>
    <w:p w14:paraId="298738B8" w14:textId="77777777" w:rsidR="00263FB4" w:rsidRDefault="002F1EA5" w:rsidP="00BD3A55">
      <w:pPr>
        <w:jc w:val="center"/>
        <w:rPr>
          <w:sz w:val="20"/>
          <w:lang w:val="en-US"/>
        </w:rPr>
      </w:pPr>
      <w:r w:rsidRPr="002F1EA5">
        <w:rPr>
          <w:sz w:val="20"/>
          <w:vertAlign w:val="superscript"/>
          <w:lang w:val="en-US"/>
        </w:rPr>
        <w:t>1</w:t>
      </w:r>
      <w:r w:rsidR="00BD3A55">
        <w:rPr>
          <w:sz w:val="20"/>
          <w:lang w:val="en-US"/>
        </w:rPr>
        <w:t xml:space="preserve">Neurology </w:t>
      </w:r>
      <w:proofErr w:type="spellStart"/>
      <w:r w:rsidR="00BD3A55">
        <w:rPr>
          <w:sz w:val="20"/>
          <w:lang w:val="en-US"/>
        </w:rPr>
        <w:t>Dept</w:t>
      </w:r>
      <w:proofErr w:type="spellEnd"/>
      <w:r w:rsidR="00BD3A55">
        <w:rPr>
          <w:sz w:val="20"/>
          <w:lang w:val="en-US"/>
        </w:rPr>
        <w:t>, FCM, UNICAMP</w:t>
      </w:r>
      <w:r>
        <w:rPr>
          <w:sz w:val="20"/>
          <w:lang w:val="en-US"/>
        </w:rPr>
        <w:t xml:space="preserve">, </w:t>
      </w:r>
      <w:r w:rsidR="00263FB4" w:rsidRPr="00263FB4">
        <w:rPr>
          <w:sz w:val="20"/>
          <w:vertAlign w:val="superscript"/>
          <w:lang w:val="en-US"/>
        </w:rPr>
        <w:t>2</w:t>
      </w:r>
      <w:r w:rsidR="00263FB4">
        <w:rPr>
          <w:sz w:val="20"/>
          <w:lang w:val="en-US"/>
        </w:rPr>
        <w:t xml:space="preserve">Genetics Dept., FCM, UNICAMP, </w:t>
      </w:r>
      <w:r w:rsidR="00BD3A55" w:rsidRPr="00263FB4">
        <w:rPr>
          <w:sz w:val="20"/>
          <w:vertAlign w:val="superscript"/>
          <w:lang w:val="en-US"/>
        </w:rPr>
        <w:t>3</w:t>
      </w:r>
      <w:r w:rsidR="00BD3A55">
        <w:rPr>
          <w:sz w:val="20"/>
          <w:lang w:val="en-US"/>
        </w:rPr>
        <w:t xml:space="preserve">CTI Renato Archer, </w:t>
      </w:r>
      <w:r w:rsidR="00BD3A55">
        <w:rPr>
          <w:sz w:val="20"/>
          <w:vertAlign w:val="superscript"/>
          <w:lang w:val="en-US"/>
        </w:rPr>
        <w:t>4</w:t>
      </w:r>
      <w:r w:rsidR="00BD3A55">
        <w:rPr>
          <w:sz w:val="20"/>
          <w:lang w:val="en-US"/>
        </w:rPr>
        <w:t>Neurophysics Group, IFGW, UNICAMP</w:t>
      </w:r>
      <w:r w:rsidR="0011795E">
        <w:rPr>
          <w:sz w:val="20"/>
          <w:lang w:val="en-US"/>
        </w:rPr>
        <w:t xml:space="preserve"> </w:t>
      </w:r>
    </w:p>
    <w:p w14:paraId="298738B9" w14:textId="77777777" w:rsidR="004E3321" w:rsidRPr="00BD3A55" w:rsidRDefault="004E3321" w:rsidP="00BD3A55">
      <w:pPr>
        <w:jc w:val="center"/>
        <w:rPr>
          <w:sz w:val="20"/>
          <w:lang w:val="en-US"/>
        </w:rPr>
      </w:pPr>
    </w:p>
    <w:p w14:paraId="298738BA" w14:textId="3D0AFBB4" w:rsidR="004E3321" w:rsidRDefault="00263FB4" w:rsidP="005334B4">
      <w:pPr>
        <w:rPr>
          <w:lang w:val="en-US"/>
        </w:rPr>
      </w:pPr>
      <w:r w:rsidRPr="00263FB4">
        <w:rPr>
          <w:b/>
          <w:lang w:val="en-US"/>
        </w:rPr>
        <w:t>Introduction:</w:t>
      </w:r>
      <w:r>
        <w:rPr>
          <w:lang w:val="en-US"/>
        </w:rPr>
        <w:t xml:space="preserve"> </w:t>
      </w:r>
      <w:r w:rsidR="004E3321" w:rsidRPr="009C171C">
        <w:rPr>
          <w:lang w:val="en-US"/>
        </w:rPr>
        <w:t>Brain probes constitute the only available tool for</w:t>
      </w:r>
      <w:r w:rsidR="004E3321">
        <w:rPr>
          <w:lang w:val="en-US"/>
        </w:rPr>
        <w:t xml:space="preserve"> examining the link between the </w:t>
      </w:r>
      <w:r w:rsidR="004E3321" w:rsidRPr="009C171C">
        <w:rPr>
          <w:lang w:val="en-US"/>
        </w:rPr>
        <w:t xml:space="preserve">electrical activity of single neurons and subject behavior. Because the electrodes contained in the </w:t>
      </w:r>
      <w:r w:rsidR="004E3321">
        <w:rPr>
          <w:lang w:val="en-US"/>
        </w:rPr>
        <w:t xml:space="preserve">neural </w:t>
      </w:r>
      <w:r w:rsidR="004E3321" w:rsidRPr="009C171C">
        <w:rPr>
          <w:lang w:val="en-US"/>
        </w:rPr>
        <w:t xml:space="preserve">probes need to be positioned within tens of micrometers </w:t>
      </w:r>
      <w:r w:rsidR="004E3321">
        <w:rPr>
          <w:lang w:val="en-US"/>
        </w:rPr>
        <w:t>of the neurons of interest, thes</w:t>
      </w:r>
      <w:r w:rsidR="004E3321" w:rsidRPr="009C171C">
        <w:rPr>
          <w:lang w:val="en-US"/>
        </w:rPr>
        <w:t xml:space="preserve">e are necessarily invasive devices. As such they incur the damage of neural tissue, therefore unleashing the chain of events that characterizes inflammation. As it happens with any foreign material that is implanted in the body, the process starts with the unspecific adsorption of proteins and the recruitment of defense cells that attempt to clean up the site and eliminate the threat of the invader. If the threat persists, a chronic inflammatory process ensues, with the attempt to shield the affected area from the surrounding tissue. The common perception is that this shielding, which in the brain consists of a capsule formed predominantly by astrocytes, gradually decreases the quality of the recorded neuronal signals. </w:t>
      </w:r>
      <w:r w:rsidR="005334B4" w:rsidRPr="005334B4">
        <w:rPr>
          <w:lang w:val="en-US"/>
        </w:rPr>
        <w:t>This project will focus on the application and characterization of neural probes already</w:t>
      </w:r>
      <w:r w:rsidR="005334B4">
        <w:rPr>
          <w:lang w:val="en-US"/>
        </w:rPr>
        <w:t xml:space="preserve"> </w:t>
      </w:r>
      <w:r w:rsidR="005334B4" w:rsidRPr="005334B4">
        <w:rPr>
          <w:lang w:val="en-US"/>
        </w:rPr>
        <w:t>designed and fabricated by the BRAINN research groups. Furthermore, this project will</w:t>
      </w:r>
      <w:r w:rsidR="005334B4">
        <w:rPr>
          <w:lang w:val="en-US"/>
        </w:rPr>
        <w:t xml:space="preserve"> </w:t>
      </w:r>
      <w:r w:rsidR="005334B4" w:rsidRPr="005334B4">
        <w:rPr>
          <w:lang w:val="en-US"/>
        </w:rPr>
        <w:t>also have the objective of producing new probe configurations and materials for the</w:t>
      </w:r>
      <w:r w:rsidR="0023789C">
        <w:rPr>
          <w:lang w:val="en-US"/>
        </w:rPr>
        <w:t xml:space="preserve"> </w:t>
      </w:r>
      <w:r w:rsidR="005334B4" w:rsidRPr="005334B4">
        <w:rPr>
          <w:lang w:val="en-US"/>
        </w:rPr>
        <w:t>improvement of neural recordings in experimental animal models.</w:t>
      </w:r>
    </w:p>
    <w:p w14:paraId="298738BB" w14:textId="77777777" w:rsidR="00263FB4" w:rsidRDefault="00263FB4" w:rsidP="004E3321">
      <w:pPr>
        <w:rPr>
          <w:lang w:val="en-US"/>
        </w:rPr>
      </w:pPr>
    </w:p>
    <w:p w14:paraId="298738BD" w14:textId="0A595CC4" w:rsidR="00972624" w:rsidRDefault="00263FB4" w:rsidP="00D349C6">
      <w:pPr>
        <w:rPr>
          <w:lang w:val="en-US"/>
        </w:rPr>
      </w:pPr>
      <w:r w:rsidRPr="00263FB4">
        <w:rPr>
          <w:b/>
          <w:lang w:val="en-US"/>
        </w:rPr>
        <w:t>Materials and Methods:</w:t>
      </w:r>
      <w:r w:rsidR="000E3F39">
        <w:rPr>
          <w:lang w:val="en-US"/>
        </w:rPr>
        <w:t xml:space="preserve"> </w:t>
      </w:r>
      <w:r w:rsidR="00A83C64">
        <w:rPr>
          <w:lang w:val="en-US"/>
        </w:rPr>
        <w:t>Stereotaxic surgery for</w:t>
      </w:r>
      <w:r w:rsidR="00A31054">
        <w:rPr>
          <w:lang w:val="en-US"/>
        </w:rPr>
        <w:t xml:space="preserve"> implantation of recording n</w:t>
      </w:r>
      <w:r w:rsidR="000E3F39">
        <w:rPr>
          <w:lang w:val="en-US"/>
        </w:rPr>
        <w:t>eural probes</w:t>
      </w:r>
      <w:r w:rsidR="005C46B4" w:rsidRPr="005C46B4">
        <w:rPr>
          <w:lang w:val="en-US"/>
        </w:rPr>
        <w:t xml:space="preserve"> </w:t>
      </w:r>
      <w:r w:rsidR="005C46B4">
        <w:rPr>
          <w:lang w:val="en-US"/>
        </w:rPr>
        <w:t xml:space="preserve">will be performed in Fischer 344 male rats (aged 12 weeks) acquired from </w:t>
      </w:r>
      <w:proofErr w:type="spellStart"/>
      <w:r w:rsidR="005C46B4" w:rsidRPr="000A376A">
        <w:rPr>
          <w:lang w:val="en-US"/>
        </w:rPr>
        <w:t>Cemib</w:t>
      </w:r>
      <w:proofErr w:type="spellEnd"/>
      <w:r w:rsidR="005C46B4" w:rsidRPr="000A376A">
        <w:rPr>
          <w:lang w:val="en-US"/>
        </w:rPr>
        <w:t>, State University of Campinas (</w:t>
      </w:r>
      <w:proofErr w:type="spellStart"/>
      <w:r w:rsidR="005C46B4" w:rsidRPr="000A376A">
        <w:rPr>
          <w:lang w:val="en-US"/>
        </w:rPr>
        <w:t>Unicamp</w:t>
      </w:r>
      <w:proofErr w:type="spellEnd"/>
      <w:r w:rsidR="005C46B4">
        <w:rPr>
          <w:lang w:val="en-US"/>
        </w:rPr>
        <w:t xml:space="preserve">). Rats will </w:t>
      </w:r>
      <w:r w:rsidR="004379D6">
        <w:rPr>
          <w:lang w:val="en-US"/>
        </w:rPr>
        <w:t>either</w:t>
      </w:r>
      <w:r w:rsidR="0023789C">
        <w:rPr>
          <w:lang w:val="en-US"/>
        </w:rPr>
        <w:t xml:space="preserve"> receive recording neural p</w:t>
      </w:r>
      <w:r w:rsidR="005C46B4">
        <w:rPr>
          <w:lang w:val="en-US"/>
        </w:rPr>
        <w:t xml:space="preserve">robes </w:t>
      </w:r>
      <w:r w:rsidR="00A31054">
        <w:rPr>
          <w:lang w:val="en-US"/>
        </w:rPr>
        <w:t xml:space="preserve">developed previously in </w:t>
      </w:r>
      <w:proofErr w:type="spellStart"/>
      <w:r w:rsidR="00A31054">
        <w:rPr>
          <w:lang w:val="en-US"/>
        </w:rPr>
        <w:t>Brainn</w:t>
      </w:r>
      <w:proofErr w:type="spellEnd"/>
      <w:r w:rsidR="004379D6">
        <w:rPr>
          <w:lang w:val="en-US"/>
        </w:rPr>
        <w:t xml:space="preserve"> projects, or commercial silicon probes (</w:t>
      </w:r>
      <w:proofErr w:type="spellStart"/>
      <w:r w:rsidR="004379D6">
        <w:rPr>
          <w:lang w:val="en-US"/>
        </w:rPr>
        <w:t>Neuronexus</w:t>
      </w:r>
      <w:proofErr w:type="spellEnd"/>
      <w:r w:rsidR="004379D6">
        <w:rPr>
          <w:lang w:val="en-US"/>
        </w:rPr>
        <w:t>), or stainless steel micro wires.</w:t>
      </w:r>
      <w:r w:rsidR="005C46B4">
        <w:rPr>
          <w:lang w:val="en-US"/>
        </w:rPr>
        <w:t xml:space="preserve"> </w:t>
      </w:r>
      <w:r w:rsidR="000E3F39">
        <w:rPr>
          <w:lang w:val="en-US"/>
        </w:rPr>
        <w:t xml:space="preserve"> </w:t>
      </w:r>
      <w:r w:rsidR="005C46B4">
        <w:rPr>
          <w:lang w:val="en-US"/>
        </w:rPr>
        <w:t>R</w:t>
      </w:r>
      <w:r w:rsidR="00F5743C">
        <w:rPr>
          <w:lang w:val="en-US"/>
        </w:rPr>
        <w:t xml:space="preserve">ecording </w:t>
      </w:r>
      <w:r w:rsidR="003666F6">
        <w:rPr>
          <w:lang w:val="en-US"/>
        </w:rPr>
        <w:t>probes</w:t>
      </w:r>
      <w:r w:rsidR="00F5743C">
        <w:rPr>
          <w:lang w:val="en-US"/>
        </w:rPr>
        <w:t xml:space="preserve"> will be implanted</w:t>
      </w:r>
      <w:r w:rsidR="005C46B4">
        <w:rPr>
          <w:lang w:val="en-US"/>
        </w:rPr>
        <w:t xml:space="preserve"> into the dentate </w:t>
      </w:r>
      <w:proofErr w:type="spellStart"/>
      <w:r w:rsidR="005C46B4">
        <w:rPr>
          <w:lang w:val="en-US"/>
        </w:rPr>
        <w:t>gy</w:t>
      </w:r>
      <w:r w:rsidR="00506A2E">
        <w:rPr>
          <w:lang w:val="en-US"/>
        </w:rPr>
        <w:t>rus</w:t>
      </w:r>
      <w:proofErr w:type="spellEnd"/>
      <w:r w:rsidR="00506A2E">
        <w:rPr>
          <w:lang w:val="en-US"/>
        </w:rPr>
        <w:t xml:space="preserve"> of</w:t>
      </w:r>
      <w:r w:rsidR="005C46B4">
        <w:rPr>
          <w:lang w:val="en-US"/>
        </w:rPr>
        <w:t xml:space="preserve"> the</w:t>
      </w:r>
      <w:r w:rsidR="00506A2E">
        <w:rPr>
          <w:lang w:val="en-US"/>
        </w:rPr>
        <w:t xml:space="preserve"> hippocampus</w:t>
      </w:r>
      <w:r w:rsidR="003666F6">
        <w:rPr>
          <w:lang w:val="en-US"/>
        </w:rPr>
        <w:t xml:space="preserve"> (AP</w:t>
      </w:r>
      <w:r w:rsidR="00506A2E">
        <w:rPr>
          <w:lang w:val="en-US"/>
        </w:rPr>
        <w:t xml:space="preserve"> </w:t>
      </w:r>
      <w:r w:rsidR="003666F6">
        <w:rPr>
          <w:lang w:val="en-US"/>
        </w:rPr>
        <w:t>-3.0; L ±2.0; V</w:t>
      </w:r>
      <w:r w:rsidR="00506A2E">
        <w:rPr>
          <w:lang w:val="en-US"/>
        </w:rPr>
        <w:t xml:space="preserve"> </w:t>
      </w:r>
      <w:r w:rsidR="003666F6">
        <w:rPr>
          <w:lang w:val="en-US"/>
        </w:rPr>
        <w:t>-3.5</w:t>
      </w:r>
      <w:r w:rsidR="007C17F5">
        <w:rPr>
          <w:lang w:val="en-US"/>
        </w:rPr>
        <w:t xml:space="preserve">) and bipolar </w:t>
      </w:r>
      <w:r w:rsidR="0023789C">
        <w:rPr>
          <w:lang w:val="en-US"/>
        </w:rPr>
        <w:t>stimulating</w:t>
      </w:r>
      <w:r w:rsidR="005C46B4">
        <w:rPr>
          <w:lang w:val="en-US"/>
        </w:rPr>
        <w:t xml:space="preserve"> </w:t>
      </w:r>
      <w:r w:rsidR="003666F6">
        <w:rPr>
          <w:lang w:val="en-US"/>
        </w:rPr>
        <w:t>electrodes</w:t>
      </w:r>
      <w:r w:rsidR="007C17F5">
        <w:rPr>
          <w:lang w:val="en-US"/>
        </w:rPr>
        <w:t xml:space="preserve"> </w:t>
      </w:r>
      <w:r w:rsidR="005C46B4">
        <w:rPr>
          <w:lang w:val="en-US"/>
        </w:rPr>
        <w:t xml:space="preserve">will be implanted </w:t>
      </w:r>
      <w:r w:rsidR="00506A2E">
        <w:rPr>
          <w:lang w:val="en-US"/>
        </w:rPr>
        <w:t xml:space="preserve">into the </w:t>
      </w:r>
      <w:proofErr w:type="spellStart"/>
      <w:r w:rsidR="00506A2E">
        <w:rPr>
          <w:lang w:val="en-US"/>
        </w:rPr>
        <w:t>perforant</w:t>
      </w:r>
      <w:proofErr w:type="spellEnd"/>
      <w:r w:rsidR="00506A2E">
        <w:rPr>
          <w:lang w:val="en-US"/>
        </w:rPr>
        <w:t xml:space="preserve"> path</w:t>
      </w:r>
      <w:r w:rsidR="003A38A8">
        <w:rPr>
          <w:lang w:val="en-US"/>
        </w:rPr>
        <w:t>way</w:t>
      </w:r>
      <w:r w:rsidR="007C17F5">
        <w:rPr>
          <w:lang w:val="en-US"/>
        </w:rPr>
        <w:t xml:space="preserve"> </w:t>
      </w:r>
      <w:r w:rsidR="00A24393">
        <w:rPr>
          <w:lang w:val="en-US"/>
        </w:rPr>
        <w:t>(</w:t>
      </w:r>
      <w:r w:rsidR="00CE06BF" w:rsidRPr="00CE06BF">
        <w:rPr>
          <w:lang w:val="en-US"/>
        </w:rPr>
        <w:t xml:space="preserve">AP </w:t>
      </w:r>
      <w:r w:rsidR="00CE06BF">
        <w:rPr>
          <w:lang w:val="en-US"/>
        </w:rPr>
        <w:t>-</w:t>
      </w:r>
      <w:r w:rsidR="00BD695B">
        <w:rPr>
          <w:lang w:val="en-US"/>
        </w:rPr>
        <w:t>8.0; L ±4.5; V -3.</w:t>
      </w:r>
      <w:r w:rsidR="00CE06BF" w:rsidRPr="00CE06BF">
        <w:rPr>
          <w:lang w:val="en-US"/>
        </w:rPr>
        <w:t>0</w:t>
      </w:r>
      <w:r w:rsidR="00A24393">
        <w:rPr>
          <w:lang w:val="en-US"/>
        </w:rPr>
        <w:t>)</w:t>
      </w:r>
      <w:r w:rsidR="003666F6">
        <w:rPr>
          <w:lang w:val="en-US"/>
        </w:rPr>
        <w:t xml:space="preserve">. </w:t>
      </w:r>
      <w:r w:rsidR="004379D6">
        <w:rPr>
          <w:lang w:val="en-US"/>
        </w:rPr>
        <w:t xml:space="preserve">After a period of </w:t>
      </w:r>
      <w:r w:rsidR="00E74FCB">
        <w:rPr>
          <w:lang w:val="en-US"/>
        </w:rPr>
        <w:t>7 or</w:t>
      </w:r>
      <w:r w:rsidR="00562358">
        <w:rPr>
          <w:lang w:val="en-US"/>
        </w:rPr>
        <w:t xml:space="preserve"> 28 days</w:t>
      </w:r>
      <w:r w:rsidR="004379D6">
        <w:rPr>
          <w:lang w:val="en-US"/>
        </w:rPr>
        <w:t>, neural electrical activity will be recorded. Subsequently, rats will be euthanized and t</w:t>
      </w:r>
      <w:r w:rsidR="004379D6" w:rsidRPr="004379D6">
        <w:rPr>
          <w:lang w:val="en-US"/>
        </w:rPr>
        <w:t>he nervous tissue</w:t>
      </w:r>
      <w:r w:rsidR="0023789C">
        <w:rPr>
          <w:lang w:val="en-US"/>
        </w:rPr>
        <w:t xml:space="preserve"> of rats that received chronic</w:t>
      </w:r>
      <w:r w:rsidR="004379D6" w:rsidRPr="004379D6">
        <w:rPr>
          <w:lang w:val="en-US"/>
        </w:rPr>
        <w:t xml:space="preserve"> probe implants will be analyzed with immunofluorescence labeling for markers for foreign body reaction such as the </w:t>
      </w:r>
      <w:proofErr w:type="spellStart"/>
      <w:r w:rsidR="004379D6" w:rsidRPr="004379D6">
        <w:rPr>
          <w:lang w:val="en-US"/>
        </w:rPr>
        <w:t>astrogliosis</w:t>
      </w:r>
      <w:proofErr w:type="spellEnd"/>
      <w:r w:rsidR="004379D6" w:rsidRPr="004379D6">
        <w:rPr>
          <w:lang w:val="en-US"/>
        </w:rPr>
        <w:t xml:space="preserve"> markers GFAP and microglia activation marker CD68. Gene expression analysis of tissue reactivity markers will also be performed in laser </w:t>
      </w:r>
      <w:proofErr w:type="spellStart"/>
      <w:r w:rsidR="004379D6" w:rsidRPr="004379D6">
        <w:rPr>
          <w:lang w:val="en-US"/>
        </w:rPr>
        <w:t>microdissected</w:t>
      </w:r>
      <w:proofErr w:type="spellEnd"/>
      <w:r w:rsidR="004379D6" w:rsidRPr="004379D6">
        <w:rPr>
          <w:lang w:val="en-US"/>
        </w:rPr>
        <w:t xml:space="preserve"> regions proximal to probe implantation and will be subjected to </w:t>
      </w:r>
      <w:proofErr w:type="spellStart"/>
      <w:r w:rsidR="004379D6" w:rsidRPr="004379D6">
        <w:rPr>
          <w:lang w:val="en-US"/>
        </w:rPr>
        <w:t>transcriptome</w:t>
      </w:r>
      <w:proofErr w:type="spellEnd"/>
      <w:r w:rsidR="004379D6" w:rsidRPr="004379D6">
        <w:rPr>
          <w:lang w:val="en-US"/>
        </w:rPr>
        <w:t xml:space="preserve"> analysis by RNA-seq.</w:t>
      </w:r>
      <w:r w:rsidR="004379D6">
        <w:rPr>
          <w:lang w:val="en-US"/>
        </w:rPr>
        <w:t xml:space="preserve"> </w:t>
      </w:r>
      <w:r w:rsidR="00972624">
        <w:rPr>
          <w:lang w:val="en-US"/>
        </w:rPr>
        <w:t xml:space="preserve">All </w:t>
      </w:r>
      <w:r w:rsidR="00972624" w:rsidRPr="00972624">
        <w:rPr>
          <w:lang w:val="en-US"/>
        </w:rPr>
        <w:t>procedures were approved by the Ethics Commi</w:t>
      </w:r>
      <w:r w:rsidR="00972624">
        <w:rPr>
          <w:lang w:val="en-US"/>
        </w:rPr>
        <w:t xml:space="preserve">ttee for Animal Research at the </w:t>
      </w:r>
      <w:proofErr w:type="spellStart"/>
      <w:r w:rsidR="00972624">
        <w:rPr>
          <w:lang w:val="en-US"/>
        </w:rPr>
        <w:t>Unicamp</w:t>
      </w:r>
      <w:proofErr w:type="spellEnd"/>
      <w:r w:rsidR="00972624">
        <w:rPr>
          <w:lang w:val="en-US"/>
        </w:rPr>
        <w:t xml:space="preserve"> (protocol 4438-1</w:t>
      </w:r>
      <w:r w:rsidR="00972624" w:rsidRPr="00972624">
        <w:rPr>
          <w:lang w:val="en-US"/>
        </w:rPr>
        <w:t>).</w:t>
      </w:r>
    </w:p>
    <w:p w14:paraId="298738BE" w14:textId="77777777" w:rsidR="00263FB4" w:rsidRDefault="00263FB4" w:rsidP="00263FB4">
      <w:pPr>
        <w:rPr>
          <w:lang w:val="en-US"/>
        </w:rPr>
      </w:pPr>
    </w:p>
    <w:p w14:paraId="298738BF" w14:textId="2F8F37F2" w:rsidR="00263FB4" w:rsidRDefault="00263FB4" w:rsidP="00263FB4">
      <w:pPr>
        <w:rPr>
          <w:lang w:val="en-US"/>
        </w:rPr>
      </w:pPr>
      <w:r w:rsidRPr="00263FB4">
        <w:rPr>
          <w:b/>
          <w:lang w:val="en-US"/>
        </w:rPr>
        <w:t>Results:</w:t>
      </w:r>
      <w:r>
        <w:rPr>
          <w:lang w:val="en-US"/>
        </w:rPr>
        <w:t xml:space="preserve"> </w:t>
      </w:r>
      <w:r w:rsidR="004379D6">
        <w:rPr>
          <w:lang w:val="en-US"/>
        </w:rPr>
        <w:t>In this proje</w:t>
      </w:r>
      <w:r w:rsidR="00A31054">
        <w:rPr>
          <w:lang w:val="en-US"/>
        </w:rPr>
        <w:t>ct, we will explore the use of n</w:t>
      </w:r>
      <w:r w:rsidR="004379D6">
        <w:rPr>
          <w:lang w:val="en-US"/>
        </w:rPr>
        <w:t>e</w:t>
      </w:r>
      <w:r w:rsidR="00A31054">
        <w:rPr>
          <w:lang w:val="en-US"/>
        </w:rPr>
        <w:t>ural p</w:t>
      </w:r>
      <w:r w:rsidR="004379D6">
        <w:rPr>
          <w:lang w:val="en-US"/>
        </w:rPr>
        <w:t xml:space="preserve">robes developed in previous </w:t>
      </w:r>
      <w:proofErr w:type="spellStart"/>
      <w:r w:rsidR="004379D6">
        <w:rPr>
          <w:lang w:val="en-US"/>
        </w:rPr>
        <w:t>Brainn</w:t>
      </w:r>
      <w:proofErr w:type="spellEnd"/>
      <w:r w:rsidR="004379D6">
        <w:rPr>
          <w:lang w:val="en-US"/>
        </w:rPr>
        <w:t xml:space="preserve"> projects for nervous tissue electrical activity recording. Furthermore, we will explore and characterize tissue reaction to different neural probe materials and design.</w:t>
      </w:r>
    </w:p>
    <w:p w14:paraId="298738C3" w14:textId="77777777" w:rsidR="00263FB4" w:rsidRDefault="00263FB4" w:rsidP="00263FB4">
      <w:pPr>
        <w:rPr>
          <w:lang w:val="en-US"/>
        </w:rPr>
      </w:pPr>
    </w:p>
    <w:p w14:paraId="5DB06C25" w14:textId="706F1113" w:rsidR="004379D6" w:rsidRPr="004379D6" w:rsidRDefault="00263FB4" w:rsidP="004379D6">
      <w:pPr>
        <w:rPr>
          <w:lang w:val="en-US"/>
        </w:rPr>
      </w:pPr>
      <w:r w:rsidRPr="00263FB4">
        <w:rPr>
          <w:b/>
          <w:lang w:val="en-US"/>
        </w:rPr>
        <w:t>Discussion:</w:t>
      </w:r>
      <w:r>
        <w:rPr>
          <w:lang w:val="en-US"/>
        </w:rPr>
        <w:t xml:space="preserve"> </w:t>
      </w:r>
      <w:r w:rsidR="004379D6" w:rsidRPr="004379D6">
        <w:rPr>
          <w:lang w:val="en-US"/>
        </w:rPr>
        <w:t>Recent evidence suggests the neurotoxic effect of the signaling cytokines that are</w:t>
      </w:r>
      <w:r w:rsidR="00A14477">
        <w:rPr>
          <w:lang w:val="en-US"/>
        </w:rPr>
        <w:t xml:space="preserve"> </w:t>
      </w:r>
      <w:r w:rsidR="004379D6" w:rsidRPr="004379D6">
        <w:rPr>
          <w:lang w:val="en-US"/>
        </w:rPr>
        <w:t xml:space="preserve">released </w:t>
      </w:r>
      <w:r w:rsidR="005334B4">
        <w:rPr>
          <w:lang w:val="en-US"/>
        </w:rPr>
        <w:t xml:space="preserve">by nervous tissue in contact with implanted probes. It is noteworthy that such inflammatory process may result in </w:t>
      </w:r>
      <w:r w:rsidR="004379D6" w:rsidRPr="004379D6">
        <w:rPr>
          <w:lang w:val="en-US"/>
        </w:rPr>
        <w:t>the loss of</w:t>
      </w:r>
      <w:r w:rsidR="005334B4">
        <w:rPr>
          <w:lang w:val="en-US"/>
        </w:rPr>
        <w:t xml:space="preserve"> the ability to record</w:t>
      </w:r>
      <w:r w:rsidR="004379D6" w:rsidRPr="004379D6">
        <w:rPr>
          <w:lang w:val="en-US"/>
        </w:rPr>
        <w:t xml:space="preserve"> single action potentials</w:t>
      </w:r>
      <w:r w:rsidR="005334B4">
        <w:rPr>
          <w:lang w:val="en-US"/>
        </w:rPr>
        <w:t>. Consequentially, exploring tissue reaction is crucial for the development of more efficient implantable neural probes.</w:t>
      </w:r>
    </w:p>
    <w:p w14:paraId="298738C8" w14:textId="3B4DDD98" w:rsidR="00C819A3" w:rsidRDefault="00C819A3" w:rsidP="004379D6">
      <w:pPr>
        <w:rPr>
          <w:lang w:val="en-US"/>
        </w:rPr>
      </w:pPr>
    </w:p>
    <w:p w14:paraId="298738C9" w14:textId="188C152D" w:rsidR="00263FB4" w:rsidRDefault="00263FB4" w:rsidP="00263FB4">
      <w:pPr>
        <w:rPr>
          <w:lang w:val="en-US"/>
        </w:rPr>
      </w:pPr>
      <w:r w:rsidRPr="00263FB4">
        <w:rPr>
          <w:b/>
          <w:lang w:val="en-US"/>
        </w:rPr>
        <w:t>Conclusion:</w:t>
      </w:r>
      <w:r>
        <w:rPr>
          <w:b/>
          <w:lang w:val="en-US"/>
        </w:rPr>
        <w:t xml:space="preserve"> </w:t>
      </w:r>
      <w:r w:rsidRPr="00263FB4">
        <w:rPr>
          <w:lang w:val="en-US"/>
        </w:rPr>
        <w:t xml:space="preserve">The </w:t>
      </w:r>
      <w:r>
        <w:rPr>
          <w:lang w:val="en-US"/>
        </w:rPr>
        <w:t>present</w:t>
      </w:r>
      <w:r w:rsidR="00B05C50">
        <w:rPr>
          <w:lang w:val="en-US"/>
        </w:rPr>
        <w:t xml:space="preserve"> work</w:t>
      </w:r>
      <w:r>
        <w:rPr>
          <w:lang w:val="en-US"/>
        </w:rPr>
        <w:t xml:space="preserve"> </w:t>
      </w:r>
      <w:r w:rsidRPr="00263FB4">
        <w:rPr>
          <w:lang w:val="en-US"/>
        </w:rPr>
        <w:t>w</w:t>
      </w:r>
      <w:r w:rsidR="006D5FCC">
        <w:rPr>
          <w:lang w:val="en-US"/>
        </w:rPr>
        <w:t xml:space="preserve">ill permit to evaluate the biocompatibility and efficacy of the neural probes designed and developed by BRAINN </w:t>
      </w:r>
      <w:r w:rsidR="00B05C50">
        <w:rPr>
          <w:lang w:val="en-US"/>
        </w:rPr>
        <w:t>team</w:t>
      </w:r>
      <w:r w:rsidR="003843D0">
        <w:rPr>
          <w:lang w:val="en-US"/>
        </w:rPr>
        <w:t xml:space="preserve"> researchers for</w:t>
      </w:r>
      <w:r w:rsidR="00C819A3">
        <w:rPr>
          <w:lang w:val="en-US"/>
        </w:rPr>
        <w:t xml:space="preserve"> application in animal models researches and </w:t>
      </w:r>
      <w:r w:rsidR="006955D0">
        <w:rPr>
          <w:lang w:val="en-US"/>
        </w:rPr>
        <w:t xml:space="preserve">with </w:t>
      </w:r>
      <w:r w:rsidR="00C819A3">
        <w:rPr>
          <w:lang w:val="en-US"/>
        </w:rPr>
        <w:t xml:space="preserve">potential </w:t>
      </w:r>
      <w:r w:rsidR="006955D0">
        <w:rPr>
          <w:lang w:val="en-US"/>
        </w:rPr>
        <w:t xml:space="preserve">for </w:t>
      </w:r>
      <w:r w:rsidR="00C819A3">
        <w:rPr>
          <w:lang w:val="en-US"/>
        </w:rPr>
        <w:t>application in humans.</w:t>
      </w:r>
    </w:p>
    <w:p w14:paraId="298738CA" w14:textId="77777777" w:rsidR="00263FB4" w:rsidRPr="000557A7" w:rsidRDefault="00263FB4" w:rsidP="00263FB4">
      <w:pPr>
        <w:rPr>
          <w:lang w:val="en-US"/>
        </w:rPr>
      </w:pPr>
    </w:p>
    <w:p w14:paraId="298738CB" w14:textId="28B25879" w:rsidR="00263FB4" w:rsidRDefault="00E1407D" w:rsidP="00263FB4">
      <w:pPr>
        <w:rPr>
          <w:color w:val="000000"/>
          <w:shd w:val="clear" w:color="auto" w:fill="FFFFFF"/>
          <w:lang w:val="en-GB"/>
        </w:rPr>
      </w:pPr>
      <w:r w:rsidRPr="00E1407D">
        <w:rPr>
          <w:b/>
          <w:lang w:val="en-GB"/>
        </w:rPr>
        <w:t>Reference</w:t>
      </w:r>
      <w:r w:rsidR="00703A5B" w:rsidRPr="00E1407D">
        <w:rPr>
          <w:b/>
          <w:lang w:val="en-GB"/>
        </w:rPr>
        <w:t>s:</w:t>
      </w:r>
      <w:r w:rsidR="00703A5B" w:rsidRPr="00E1407D">
        <w:rPr>
          <w:lang w:val="en-GB"/>
        </w:rPr>
        <w:t xml:space="preserve"> </w:t>
      </w:r>
      <w:r w:rsidRPr="00E1407D">
        <w:rPr>
          <w:lang w:val="en-GB"/>
        </w:rPr>
        <w:t xml:space="preserve">[1] </w:t>
      </w:r>
      <w:proofErr w:type="spellStart"/>
      <w:r w:rsidR="00E85746">
        <w:rPr>
          <w:color w:val="000000"/>
          <w:shd w:val="clear" w:color="auto" w:fill="FFFFFF"/>
          <w:lang w:val="en-GB"/>
        </w:rPr>
        <w:t>Kozai</w:t>
      </w:r>
      <w:proofErr w:type="spellEnd"/>
      <w:r w:rsidR="00E85746">
        <w:rPr>
          <w:color w:val="000000"/>
          <w:shd w:val="clear" w:color="auto" w:fill="FFFFFF"/>
          <w:lang w:val="en-GB"/>
        </w:rPr>
        <w:t xml:space="preserve"> TD</w:t>
      </w:r>
      <w:r w:rsidR="00703A5B" w:rsidRPr="00E1407D">
        <w:rPr>
          <w:color w:val="000000"/>
          <w:shd w:val="clear" w:color="auto" w:fill="FFFFFF"/>
          <w:lang w:val="en-GB"/>
        </w:rPr>
        <w:t>Y</w:t>
      </w:r>
      <w:r w:rsidRPr="00E1407D">
        <w:rPr>
          <w:color w:val="000000"/>
          <w:shd w:val="clear" w:color="auto" w:fill="FFFFFF"/>
          <w:lang w:val="en-GB"/>
        </w:rPr>
        <w:t xml:space="preserve">. et al; ACS </w:t>
      </w:r>
      <w:proofErr w:type="spellStart"/>
      <w:r w:rsidRPr="00E1407D">
        <w:rPr>
          <w:color w:val="000000"/>
          <w:shd w:val="clear" w:color="auto" w:fill="FFFFFF"/>
          <w:lang w:val="en-GB"/>
        </w:rPr>
        <w:t>Chem</w:t>
      </w:r>
      <w:proofErr w:type="spellEnd"/>
      <w:r w:rsidRPr="00E1407D">
        <w:rPr>
          <w:color w:val="000000"/>
          <w:shd w:val="clear" w:color="auto" w:fill="FFFFFF"/>
          <w:lang w:val="en-GB"/>
        </w:rPr>
        <w:t xml:space="preserve"> </w:t>
      </w:r>
      <w:proofErr w:type="spellStart"/>
      <w:r w:rsidRPr="00E1407D">
        <w:rPr>
          <w:color w:val="000000"/>
          <w:shd w:val="clear" w:color="auto" w:fill="FFFFFF"/>
          <w:lang w:val="en-GB"/>
        </w:rPr>
        <w:t>Neu</w:t>
      </w:r>
      <w:r w:rsidR="00EE4CCD">
        <w:rPr>
          <w:color w:val="000000"/>
          <w:shd w:val="clear" w:color="auto" w:fill="FFFFFF"/>
          <w:lang w:val="en-GB"/>
        </w:rPr>
        <w:t>r</w:t>
      </w:r>
      <w:r w:rsidRPr="00E1407D">
        <w:rPr>
          <w:color w:val="000000"/>
          <w:shd w:val="clear" w:color="auto" w:fill="FFFFFF"/>
          <w:lang w:val="en-GB"/>
        </w:rPr>
        <w:t>osc</w:t>
      </w:r>
      <w:proofErr w:type="spellEnd"/>
      <w:r w:rsidRPr="00E1407D">
        <w:rPr>
          <w:color w:val="000000"/>
          <w:shd w:val="clear" w:color="auto" w:fill="FFFFFF"/>
          <w:lang w:val="en-GB"/>
        </w:rPr>
        <w:t>.</w:t>
      </w:r>
      <w:r>
        <w:rPr>
          <w:color w:val="000000"/>
          <w:shd w:val="clear" w:color="auto" w:fill="FFFFFF"/>
          <w:lang w:val="en-GB"/>
        </w:rPr>
        <w:t xml:space="preserve"> </w:t>
      </w:r>
      <w:proofErr w:type="gramStart"/>
      <w:r>
        <w:rPr>
          <w:color w:val="000000"/>
          <w:shd w:val="clear" w:color="auto" w:fill="FFFFFF"/>
          <w:lang w:val="en-GB"/>
        </w:rPr>
        <w:t xml:space="preserve">6, 48-67, </w:t>
      </w:r>
      <w:r w:rsidR="00703A5B" w:rsidRPr="00E1407D">
        <w:rPr>
          <w:color w:val="000000"/>
          <w:shd w:val="clear" w:color="auto" w:fill="FFFFFF"/>
          <w:lang w:val="en-GB"/>
        </w:rPr>
        <w:t>2015</w:t>
      </w:r>
      <w:r>
        <w:rPr>
          <w:color w:val="000000"/>
          <w:shd w:val="clear" w:color="auto" w:fill="FFFFFF"/>
          <w:lang w:val="en-GB"/>
        </w:rPr>
        <w:t>.</w:t>
      </w:r>
      <w:proofErr w:type="gramEnd"/>
    </w:p>
    <w:p w14:paraId="298738CC" w14:textId="6FEEEDD3" w:rsidR="00263FB4" w:rsidRPr="00102007" w:rsidRDefault="00263FB4" w:rsidP="00263FB4">
      <w:pPr>
        <w:rPr>
          <w:lang w:val="en-US"/>
        </w:rPr>
      </w:pPr>
      <w:bookmarkStart w:id="0" w:name="_GoBack"/>
      <w:bookmarkEnd w:id="0"/>
    </w:p>
    <w:sectPr w:rsidR="00263FB4" w:rsidRPr="00102007" w:rsidSect="00743343">
      <w:headerReference w:type="default" r:id="rId7"/>
      <w:pgSz w:w="11906" w:h="16838"/>
      <w:pgMar w:top="1134" w:right="1134" w:bottom="1134" w:left="1134" w:header="709"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946144" w14:textId="77777777" w:rsidR="00F40B2D" w:rsidRDefault="00F40B2D" w:rsidP="00743343">
      <w:r>
        <w:separator/>
      </w:r>
    </w:p>
  </w:endnote>
  <w:endnote w:type="continuationSeparator" w:id="0">
    <w:p w14:paraId="008785CF" w14:textId="77777777" w:rsidR="00F40B2D" w:rsidRDefault="00F40B2D" w:rsidP="00743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6BC7F6" w14:textId="77777777" w:rsidR="00F40B2D" w:rsidRDefault="00F40B2D" w:rsidP="00743343">
      <w:r>
        <w:separator/>
      </w:r>
    </w:p>
  </w:footnote>
  <w:footnote w:type="continuationSeparator" w:id="0">
    <w:p w14:paraId="20A052E1" w14:textId="77777777" w:rsidR="00F40B2D" w:rsidRDefault="00F40B2D" w:rsidP="00743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8738D1" w14:textId="77777777" w:rsidR="00743343" w:rsidRPr="000557A7" w:rsidRDefault="00F40B2D" w:rsidP="000557A7">
    <w:pPr>
      <w:pStyle w:val="Header"/>
      <w:jc w:val="right"/>
      <w:rPr>
        <w:rFonts w:asciiTheme="minorHAnsi" w:hAnsiTheme="minorHAnsi"/>
        <w:lang w:val="en-US"/>
      </w:rPr>
    </w:pPr>
    <w:r>
      <w:rPr>
        <w:noProof/>
        <w:lang w:val="en-US"/>
      </w:rPr>
      <w:pict w14:anchorId="298738D2">
        <v:shapetype id="_x0000_t202" coordsize="21600,21600" o:spt="202" path="m,l,21600r21600,l21600,xe">
          <v:stroke joinstyle="miter"/>
          <v:path gradientshapeok="t" o:connecttype="rect"/>
        </v:shapetype>
        <v:shape id="_x0000_s2049" type="#_x0000_t202" style="position:absolute;left:0;text-align:left;margin-left:422.25pt;margin-top:-29.75pt;width:113.15pt;height:45.7pt;z-index:251660288;mso-width-relative:margin;mso-height-relative:margin" stroked="f">
          <v:textbox style="mso-next-textbox:#_x0000_s2049">
            <w:txbxContent>
              <w:p w14:paraId="298738D5" w14:textId="77777777" w:rsidR="000557A7" w:rsidRDefault="00B85F09">
                <w:pPr>
                  <w:rPr>
                    <w:rFonts w:asciiTheme="minorHAnsi" w:hAnsiTheme="minorHAnsi"/>
                    <w:b/>
                    <w:sz w:val="20"/>
                    <w:lang w:val="en-US"/>
                  </w:rPr>
                </w:pPr>
                <w:r>
                  <w:rPr>
                    <w:rFonts w:asciiTheme="minorHAnsi" w:hAnsiTheme="minorHAnsi"/>
                    <w:b/>
                    <w:sz w:val="20"/>
                    <w:lang w:val="en-US"/>
                  </w:rPr>
                  <w:t>4</w:t>
                </w:r>
                <w:r w:rsidRPr="00B85F09">
                  <w:rPr>
                    <w:rFonts w:asciiTheme="minorHAnsi" w:hAnsiTheme="minorHAnsi"/>
                    <w:b/>
                    <w:sz w:val="20"/>
                    <w:vertAlign w:val="superscript"/>
                    <w:lang w:val="en-US"/>
                  </w:rPr>
                  <w:t>th</w:t>
                </w:r>
                <w:r w:rsidR="000557A7">
                  <w:rPr>
                    <w:rFonts w:asciiTheme="minorHAnsi" w:hAnsiTheme="minorHAnsi"/>
                    <w:b/>
                    <w:sz w:val="20"/>
                    <w:lang w:val="en-US"/>
                  </w:rPr>
                  <w:t xml:space="preserve"> BRAINN Congress</w:t>
                </w:r>
              </w:p>
              <w:p w14:paraId="298738D6" w14:textId="77777777" w:rsidR="000557A7" w:rsidRDefault="00B85F09">
                <w:pPr>
                  <w:rPr>
                    <w:rFonts w:asciiTheme="minorHAnsi" w:hAnsiTheme="minorHAnsi"/>
                    <w:b/>
                    <w:sz w:val="20"/>
                    <w:lang w:val="en-US"/>
                  </w:rPr>
                </w:pPr>
                <w:r>
                  <w:rPr>
                    <w:rFonts w:asciiTheme="minorHAnsi" w:hAnsiTheme="minorHAnsi"/>
                    <w:b/>
                    <w:sz w:val="20"/>
                    <w:lang w:val="en-US"/>
                  </w:rPr>
                  <w:t>March</w:t>
                </w:r>
                <w:r w:rsidR="000557A7" w:rsidRPr="000557A7">
                  <w:rPr>
                    <w:rFonts w:asciiTheme="minorHAnsi" w:hAnsiTheme="minorHAnsi"/>
                    <w:b/>
                    <w:sz w:val="20"/>
                    <w:lang w:val="en-US"/>
                  </w:rPr>
                  <w:t xml:space="preserve"> </w:t>
                </w:r>
                <w:r>
                  <w:rPr>
                    <w:rFonts w:asciiTheme="minorHAnsi" w:hAnsiTheme="minorHAnsi"/>
                    <w:b/>
                    <w:sz w:val="20"/>
                    <w:lang w:val="en-US"/>
                  </w:rPr>
                  <w:t>27</w:t>
                </w:r>
                <w:r w:rsidR="000557A7" w:rsidRPr="00661827">
                  <w:rPr>
                    <w:rFonts w:asciiTheme="minorHAnsi" w:hAnsiTheme="minorHAnsi"/>
                    <w:b/>
                    <w:sz w:val="20"/>
                    <w:vertAlign w:val="superscript"/>
                    <w:lang w:val="en-US"/>
                  </w:rPr>
                  <w:t>th</w:t>
                </w:r>
                <w:r w:rsidR="000557A7" w:rsidRPr="000557A7">
                  <w:rPr>
                    <w:rFonts w:asciiTheme="minorHAnsi" w:hAnsiTheme="minorHAnsi"/>
                    <w:b/>
                    <w:sz w:val="20"/>
                    <w:lang w:val="en-US"/>
                  </w:rPr>
                  <w:t xml:space="preserve"> – </w:t>
                </w:r>
                <w:r>
                  <w:rPr>
                    <w:rFonts w:asciiTheme="minorHAnsi" w:hAnsiTheme="minorHAnsi"/>
                    <w:b/>
                    <w:sz w:val="20"/>
                    <w:lang w:val="en-US"/>
                  </w:rPr>
                  <w:t>29</w:t>
                </w:r>
                <w:r w:rsidR="000557A7" w:rsidRPr="00661827">
                  <w:rPr>
                    <w:rFonts w:asciiTheme="minorHAnsi" w:hAnsiTheme="minorHAnsi"/>
                    <w:b/>
                    <w:sz w:val="20"/>
                    <w:vertAlign w:val="superscript"/>
                    <w:lang w:val="en-US"/>
                  </w:rPr>
                  <w:t>th</w:t>
                </w:r>
                <w:r>
                  <w:rPr>
                    <w:rFonts w:asciiTheme="minorHAnsi" w:hAnsiTheme="minorHAnsi"/>
                    <w:b/>
                    <w:sz w:val="20"/>
                    <w:lang w:val="en-US"/>
                  </w:rPr>
                  <w:t>, 2017</w:t>
                </w:r>
                <w:r w:rsidR="000557A7" w:rsidRPr="000557A7">
                  <w:rPr>
                    <w:rFonts w:asciiTheme="minorHAnsi" w:hAnsiTheme="minorHAnsi"/>
                    <w:b/>
                    <w:sz w:val="20"/>
                    <w:lang w:val="en-US"/>
                  </w:rPr>
                  <w:t xml:space="preserve"> </w:t>
                </w:r>
              </w:p>
              <w:p w14:paraId="298738D7" w14:textId="77777777" w:rsidR="000557A7" w:rsidRPr="000557A7" w:rsidRDefault="000557A7">
                <w:pPr>
                  <w:rPr>
                    <w:rFonts w:asciiTheme="minorHAnsi" w:hAnsiTheme="minorHAnsi"/>
                    <w:b/>
                    <w:sz w:val="20"/>
                    <w:lang w:val="en-US"/>
                  </w:rPr>
                </w:pPr>
                <w:r w:rsidRPr="000557A7">
                  <w:rPr>
                    <w:rFonts w:asciiTheme="minorHAnsi" w:hAnsiTheme="minorHAnsi"/>
                    <w:b/>
                    <w:sz w:val="20"/>
                    <w:lang w:val="en-US"/>
                  </w:rPr>
                  <w:t>Campinas, SP</w:t>
                </w:r>
                <w:r w:rsidR="00FB6EFE">
                  <w:rPr>
                    <w:rFonts w:asciiTheme="minorHAnsi" w:hAnsiTheme="minorHAnsi"/>
                    <w:b/>
                    <w:sz w:val="20"/>
                    <w:lang w:val="en-US"/>
                  </w:rPr>
                  <w:t>, Brazil</w:t>
                </w:r>
              </w:p>
            </w:txbxContent>
          </v:textbox>
        </v:shape>
      </w:pict>
    </w:r>
    <w:r w:rsidR="00743343">
      <w:rPr>
        <w:noProof/>
        <w:lang w:val="en-GB" w:eastAsia="en-GB"/>
      </w:rPr>
      <w:drawing>
        <wp:anchor distT="0" distB="0" distL="114300" distR="114300" simplePos="0" relativeHeight="251658240" behindDoc="0" locked="0" layoutInCell="1" allowOverlap="1" wp14:anchorId="298738D3" wp14:editId="298738D4">
          <wp:simplePos x="0" y="0"/>
          <wp:positionH relativeFrom="column">
            <wp:posOffset>-701040</wp:posOffset>
          </wp:positionH>
          <wp:positionV relativeFrom="paragraph">
            <wp:posOffset>-394970</wp:posOffset>
          </wp:positionV>
          <wp:extent cx="1944370" cy="580390"/>
          <wp:effectExtent l="19050" t="0" r="0" b="0"/>
          <wp:wrapSquare wrapText="bothSides"/>
          <wp:docPr id="1" name="Imagem 0" descr="BRAINN_ofi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INN_oficial.png"/>
                  <pic:cNvPicPr/>
                </pic:nvPicPr>
                <pic:blipFill>
                  <a:blip r:embed="rId1"/>
                  <a:srcRect t="30636" b="27168"/>
                  <a:stretch>
                    <a:fillRect/>
                  </a:stretch>
                </pic:blipFill>
                <pic:spPr>
                  <a:xfrm>
                    <a:off x="0" y="0"/>
                    <a:ext cx="1944370" cy="580390"/>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F1EA5"/>
    <w:rsid w:val="0003597F"/>
    <w:rsid w:val="00042C87"/>
    <w:rsid w:val="000557A7"/>
    <w:rsid w:val="000669C8"/>
    <w:rsid w:val="00066B52"/>
    <w:rsid w:val="00071DAD"/>
    <w:rsid w:val="000969E2"/>
    <w:rsid w:val="000A376A"/>
    <w:rsid w:val="000C0EAF"/>
    <w:rsid w:val="000D4088"/>
    <w:rsid w:val="000E3F39"/>
    <w:rsid w:val="000F15DB"/>
    <w:rsid w:val="00102007"/>
    <w:rsid w:val="0011795E"/>
    <w:rsid w:val="001F05D0"/>
    <w:rsid w:val="0023789C"/>
    <w:rsid w:val="0026004B"/>
    <w:rsid w:val="00262DE0"/>
    <w:rsid w:val="00263FB4"/>
    <w:rsid w:val="00264FBA"/>
    <w:rsid w:val="002866D7"/>
    <w:rsid w:val="002C3BE6"/>
    <w:rsid w:val="002E5535"/>
    <w:rsid w:val="002F1EA5"/>
    <w:rsid w:val="003513A8"/>
    <w:rsid w:val="003666F6"/>
    <w:rsid w:val="003843D0"/>
    <w:rsid w:val="00391D25"/>
    <w:rsid w:val="003A38A8"/>
    <w:rsid w:val="003B0DB9"/>
    <w:rsid w:val="003C410D"/>
    <w:rsid w:val="004061C0"/>
    <w:rsid w:val="004379D6"/>
    <w:rsid w:val="0045165A"/>
    <w:rsid w:val="0045220F"/>
    <w:rsid w:val="00463BB7"/>
    <w:rsid w:val="004647A5"/>
    <w:rsid w:val="0049470E"/>
    <w:rsid w:val="00495481"/>
    <w:rsid w:val="004D3FC7"/>
    <w:rsid w:val="004E3321"/>
    <w:rsid w:val="00504078"/>
    <w:rsid w:val="00506A2E"/>
    <w:rsid w:val="005302BE"/>
    <w:rsid w:val="005334B4"/>
    <w:rsid w:val="00562358"/>
    <w:rsid w:val="005A5338"/>
    <w:rsid w:val="005C46B4"/>
    <w:rsid w:val="005E1B59"/>
    <w:rsid w:val="00610E5E"/>
    <w:rsid w:val="0065353B"/>
    <w:rsid w:val="00661827"/>
    <w:rsid w:val="006955D0"/>
    <w:rsid w:val="006D1BB3"/>
    <w:rsid w:val="006D5FCC"/>
    <w:rsid w:val="00703A5B"/>
    <w:rsid w:val="00734A22"/>
    <w:rsid w:val="00743343"/>
    <w:rsid w:val="00794D0E"/>
    <w:rsid w:val="007A2B1B"/>
    <w:rsid w:val="007B35CF"/>
    <w:rsid w:val="007C17F5"/>
    <w:rsid w:val="00832B02"/>
    <w:rsid w:val="008A5142"/>
    <w:rsid w:val="008F7FB5"/>
    <w:rsid w:val="00927C84"/>
    <w:rsid w:val="00972624"/>
    <w:rsid w:val="00A14477"/>
    <w:rsid w:val="00A24393"/>
    <w:rsid w:val="00A25F3B"/>
    <w:rsid w:val="00A31054"/>
    <w:rsid w:val="00A83C64"/>
    <w:rsid w:val="00AD5A4B"/>
    <w:rsid w:val="00AF37EC"/>
    <w:rsid w:val="00B04BD1"/>
    <w:rsid w:val="00B05C50"/>
    <w:rsid w:val="00B52F14"/>
    <w:rsid w:val="00B64A0D"/>
    <w:rsid w:val="00B85F09"/>
    <w:rsid w:val="00BD3A55"/>
    <w:rsid w:val="00BD695B"/>
    <w:rsid w:val="00BF6EF7"/>
    <w:rsid w:val="00C171DE"/>
    <w:rsid w:val="00C44086"/>
    <w:rsid w:val="00C819A3"/>
    <w:rsid w:val="00C85417"/>
    <w:rsid w:val="00CE06BF"/>
    <w:rsid w:val="00CE1180"/>
    <w:rsid w:val="00CE2775"/>
    <w:rsid w:val="00D349C6"/>
    <w:rsid w:val="00D364D7"/>
    <w:rsid w:val="00D5127B"/>
    <w:rsid w:val="00DC24E4"/>
    <w:rsid w:val="00DC26E8"/>
    <w:rsid w:val="00E13EC2"/>
    <w:rsid w:val="00E1407D"/>
    <w:rsid w:val="00E24564"/>
    <w:rsid w:val="00E50AB8"/>
    <w:rsid w:val="00E54199"/>
    <w:rsid w:val="00E67F49"/>
    <w:rsid w:val="00E74FCB"/>
    <w:rsid w:val="00E76160"/>
    <w:rsid w:val="00E85746"/>
    <w:rsid w:val="00EA6C72"/>
    <w:rsid w:val="00EE4CCD"/>
    <w:rsid w:val="00F40B2D"/>
    <w:rsid w:val="00F446FC"/>
    <w:rsid w:val="00F52674"/>
    <w:rsid w:val="00F56DF5"/>
    <w:rsid w:val="00F5743C"/>
    <w:rsid w:val="00FA07EB"/>
    <w:rsid w:val="00FB23D7"/>
    <w:rsid w:val="00FB6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9873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B02"/>
    <w:pPr>
      <w:spacing w:after="0" w:line="24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061C0"/>
    <w:pPr>
      <w:spacing w:after="0" w:line="240" w:lineRule="auto"/>
    </w:pPr>
    <w:rPr>
      <w:rFonts w:ascii="Times New Roman" w:hAnsi="Times New Roman" w:cs="Times New Roman"/>
      <w:sz w:val="24"/>
    </w:rPr>
  </w:style>
  <w:style w:type="paragraph" w:styleId="Header">
    <w:name w:val="header"/>
    <w:basedOn w:val="Normal"/>
    <w:link w:val="HeaderChar"/>
    <w:uiPriority w:val="99"/>
    <w:unhideWhenUsed/>
    <w:rsid w:val="00743343"/>
    <w:pPr>
      <w:tabs>
        <w:tab w:val="center" w:pos="4252"/>
        <w:tab w:val="right" w:pos="8504"/>
      </w:tabs>
    </w:pPr>
  </w:style>
  <w:style w:type="character" w:customStyle="1" w:styleId="HeaderChar">
    <w:name w:val="Header Char"/>
    <w:basedOn w:val="DefaultParagraphFont"/>
    <w:link w:val="Header"/>
    <w:uiPriority w:val="99"/>
    <w:rsid w:val="00743343"/>
    <w:rPr>
      <w:rFonts w:ascii="Times New Roman" w:hAnsi="Times New Roman" w:cs="Times New Roman"/>
      <w:sz w:val="24"/>
    </w:rPr>
  </w:style>
  <w:style w:type="paragraph" w:styleId="Footer">
    <w:name w:val="footer"/>
    <w:basedOn w:val="Normal"/>
    <w:link w:val="FooterChar"/>
    <w:uiPriority w:val="99"/>
    <w:unhideWhenUsed/>
    <w:rsid w:val="00743343"/>
    <w:pPr>
      <w:tabs>
        <w:tab w:val="center" w:pos="4252"/>
        <w:tab w:val="right" w:pos="8504"/>
      </w:tabs>
    </w:pPr>
  </w:style>
  <w:style w:type="character" w:customStyle="1" w:styleId="FooterChar">
    <w:name w:val="Footer Char"/>
    <w:basedOn w:val="DefaultParagraphFont"/>
    <w:link w:val="Footer"/>
    <w:uiPriority w:val="99"/>
    <w:rsid w:val="00743343"/>
    <w:rPr>
      <w:rFonts w:ascii="Times New Roman" w:hAnsi="Times New Roman" w:cs="Times New Roman"/>
      <w:sz w:val="24"/>
    </w:rPr>
  </w:style>
  <w:style w:type="paragraph" w:styleId="BalloonText">
    <w:name w:val="Balloon Text"/>
    <w:basedOn w:val="Normal"/>
    <w:link w:val="BalloonTextChar"/>
    <w:uiPriority w:val="99"/>
    <w:semiHidden/>
    <w:unhideWhenUsed/>
    <w:rsid w:val="00743343"/>
    <w:rPr>
      <w:rFonts w:ascii="Tahoma" w:hAnsi="Tahoma" w:cs="Tahoma"/>
      <w:sz w:val="16"/>
      <w:szCs w:val="16"/>
    </w:rPr>
  </w:style>
  <w:style w:type="character" w:customStyle="1" w:styleId="BalloonTextChar">
    <w:name w:val="Balloon Text Char"/>
    <w:basedOn w:val="DefaultParagraphFont"/>
    <w:link w:val="BalloonText"/>
    <w:uiPriority w:val="99"/>
    <w:semiHidden/>
    <w:rsid w:val="00743343"/>
    <w:rPr>
      <w:rFonts w:ascii="Tahoma" w:hAnsi="Tahoma" w:cs="Tahoma"/>
      <w:sz w:val="16"/>
      <w:szCs w:val="16"/>
    </w:rPr>
  </w:style>
  <w:style w:type="character" w:customStyle="1" w:styleId="apple-converted-space">
    <w:name w:val="apple-converted-space"/>
    <w:basedOn w:val="DefaultParagraphFont"/>
    <w:rsid w:val="00703A5B"/>
  </w:style>
  <w:style w:type="character" w:customStyle="1" w:styleId="ref-title">
    <w:name w:val="ref-title"/>
    <w:basedOn w:val="DefaultParagraphFont"/>
    <w:rsid w:val="00703A5B"/>
  </w:style>
  <w:style w:type="character" w:customStyle="1" w:styleId="ref-journal">
    <w:name w:val="ref-journal"/>
    <w:basedOn w:val="DefaultParagraphFont"/>
    <w:rsid w:val="00703A5B"/>
  </w:style>
  <w:style w:type="character" w:customStyle="1" w:styleId="ref-vol">
    <w:name w:val="ref-vol"/>
    <w:basedOn w:val="DefaultParagraphFont"/>
    <w:rsid w:val="00703A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287</TotalTime>
  <Pages>1</Pages>
  <Words>570</Words>
  <Characters>3250</Characters>
  <Application>Microsoft Office Word</Application>
  <DocSecurity>0</DocSecurity>
  <Lines>27</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Microsoft</Company>
  <LinksUpToDate>false</LinksUpToDate>
  <CharactersWithSpaces>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dc:creator>
  <cp:lastModifiedBy>Elayne</cp:lastModifiedBy>
  <cp:revision>115</cp:revision>
  <dcterms:created xsi:type="dcterms:W3CDTF">2014-03-12T11:44:00Z</dcterms:created>
  <dcterms:modified xsi:type="dcterms:W3CDTF">2017-03-07T20:51:00Z</dcterms:modified>
</cp:coreProperties>
</file>